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812" w:rsidRPr="009A1812" w:rsidRDefault="009A1812" w:rsidP="009A1812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"ЗАТВЕРДЖЕНО</w:t>
      </w:r>
      <w:r w:rsidRPr="009A1812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  <w:t>постановою Кабінету Міністрів України</w:t>
      </w:r>
      <w:r w:rsidRPr="009A1812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  <w:t>від 21 серпня 2019 р. N 830</w:t>
      </w:r>
      <w:r w:rsidRPr="009A1812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  <w:t>(в редакції постанови Кабінету Міністрів України</w:t>
      </w:r>
      <w:r w:rsidRPr="009A1812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  <w:t>від 8 вересня 2021 р. N 1022)</w:t>
      </w:r>
    </w:p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ТИПОВИЙ ДОГОВІР</w:t>
      </w: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br/>
        <w:t>з власником (користувачем) будівлі про надання послуги з постачання теплової енергії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4317"/>
        <w:gridCol w:w="6183"/>
      </w:tblGrid>
      <w:tr w:rsidR="009A1812" w:rsidRPr="009A1812" w:rsidTr="00D06D42">
        <w:trPr>
          <w:tblCellSpacing w:w="22" w:type="dxa"/>
          <w:jc w:val="center"/>
        </w:trPr>
        <w:tc>
          <w:tcPr>
            <w:tcW w:w="2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(найменування населеного пункту)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 ___________ 20__ р.</w:t>
            </w:r>
          </w:p>
        </w:tc>
      </w:tr>
      <w:tr w:rsidR="009A1812" w:rsidRPr="009A1812" w:rsidTr="00D06D42">
        <w:trPr>
          <w:tblCellSpacing w:w="22" w:type="dxa"/>
          <w:jc w:val="center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_____________________________________________________________________________________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(найменування юридичної особи або прізвище, ім'я та по батькові (за наявності)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фізичної особи - підприємця)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(далі - виконавець) в особі ______________________________________________________________,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         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(прізвище, ім'я та по батькові (за наявності)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                               представника виконавця)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що діє на підставі _____________________________________________________________________,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(найменування, дата, номер документа)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з однієї сторони, та ____________________________________________________________________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 xml:space="preserve">                            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           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    (найменування юридичної особи або прізвище, ім'я та по батькові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     (за наявності) фізичної особи)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(далі - споживач) в особі _______________________________________________________________,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 xml:space="preserve">                                                  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="007E548F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                     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   (прізвище, ім'я та по батькові (за наявності)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                                 представника споживача)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що діє на підставі _____________________________________________________________________,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       (найменування, дата, номер документа)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з іншої сторони (далі - сторони), уклали договір про нижченаведене.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Предмет договору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D06D4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1. Виконавець зобов'язується надавати споживачеві послугу з постачання теплової енергії для потреб опалення / на індивідуальний тепловий пункт для потреб опалення та приготування гарячої води (зайве закреслити) (далі - послуга) відповідної якості та в обсязі відповідно до теплового навантаження, а споживач зобов'язується своєчасно та в повному обсязі оплачувати надану послугу в строки і на умовах, що визначені цим договором.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2. Вимоги до якості послуги: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1) температура теплоносія повинна відповідати температурному графіку теплової мережі в частині температури подавального трубопроводу, який розміщується на 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 xml:space="preserve">                            </w:t>
            </w:r>
            <w:r w:rsidR="00D06D4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             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  (посилання на сторінку офіційного веб-сайту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_____________________________________________________________________________________;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                     органу місцевого самоврядування та/або веб-сайту виконавця)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2) тиск теплоносія повинен відповідати гідравлічному режиму теплової мережі, який розміщується на _____________________________________________________________________________________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 xml:space="preserve">   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(посилання на сторінку офіційного веб-сайту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_____________________________________________________________________________________.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                     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 органу місцевого самоврядування та/або веб-сайту виконавця)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3. Інформація про споживача: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1) адреса: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номер будинку ________________________________________________________________________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вулиця _______________________________________________________________________________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населений пункт ______________________________________________________________________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район________________________________________________________________________________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область ______________________________________________________________________________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індекс _______________________________________________________________________________;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2) опалювана площа (об'єм) будівлі - ___________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кв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 метрів (___________ куб. метрів);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3) максимальне теплове навантаження будівлі - _________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Гкал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/год.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4. Послуга надається за допомогою систем (необхідне підкреслити):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автономного теплопостачання;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індивідуального теплового пункту багатоквартирного будинку;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за межами будинку.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5. Будівля обладнана вузлом (вузлами) комерційного обліку теплової енергії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vanish/>
          <w:color w:val="2A2928"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1539"/>
        <w:gridCol w:w="1539"/>
        <w:gridCol w:w="1402"/>
        <w:gridCol w:w="1244"/>
        <w:gridCol w:w="1636"/>
        <w:gridCol w:w="995"/>
      </w:tblGrid>
      <w:tr w:rsidR="009A1812" w:rsidRPr="009A1812" w:rsidTr="009A1812">
        <w:trPr>
          <w:jc w:val="center"/>
        </w:trPr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Порядковий номер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Заводський номер, назва та умовне позначення типу засобу вимірювальної техніки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Показання засобу вимірювальної техніки на дату укладення договору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встановлення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останньої періодичної повірки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Міжповірочний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інтервал, років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Порядок надання та вимоги до якості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9A181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6. Виконавець забезпечує постачання теплоносія з гарантованим рівнем безпеки, обсягу, температури та величини тиску.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Постачання теплової енергії для потреб опалення здійснюється в опалювальний період безперервно, крім часу перерв, визначених </w:t>
            </w:r>
            <w:hyperlink r:id="rId4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 Постачання теплової енергії на індивідуальні теплові пункти для потреб опалення та приготування гарячої води здійснюється безперервно, крім часу перерв, визначених частиною першою статті 16 Закону України "Про житлово-комунальні послуги" (зайве закреслити).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7. Виконавець забезпечує постачання теплової енергії у відповідній кількості та якості згідно з вимогами пунктів 1 і 2 цього договору до межі зовнішніх інженерних мереж постачання послуги виконавця та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систем будівлі.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8. Контроль якісних та кількісних характеристик послуги здійснюється за показаннями вузла (вузлів) комерційного обліку теплової енергії та іншими засобами вимірювальної техніки.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9. У разі виникнення аварії на зовнішніх інженерних мережах постачання послуги виконавець проводить аварійно-відновні роботи у строк не більше семи діб з моменту виявлення факту аварії виконавцем або повідомлення споживачем виконавцю про аварію.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lastRenderedPageBreak/>
        <w:t>Облік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9A181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10. Обсяг спожитої у будівлі послуги визначається як обсяг теплової енергії, спожитої в будівлі за показаннями засобів вимірювальної техніки вузла (вузлів) комерційного обліку або розрахунково відповідно до Методики розподілу між споживачами обсягів спожитих у будівлі комунальних послуг, затвердженої </w:t>
            </w:r>
            <w:hyperlink r:id="rId5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22 листопада 2018 р. N 315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(далі - Методика розподілу).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Якщо будівлю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оснащено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двома та більше вузлами комерційного обліку теплової енергії відповідно до вимог </w:t>
            </w:r>
            <w:hyperlink r:id="rId6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Закону України "Про комерційний облік теплової енергії та водопостачання"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, обсяг спожитої послуги у будівлі визначається як сума показань таких вузлів обліку.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Одиницею вимірювання обсягу спожитої послуги є гігакалорія (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Гкал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11. У разі коли будівля на дату укладення цього договору не обладнана вузлом (вузлами) комерційного обліку теплової енергії, до встановлення такого вузла (вузлів) обліку обсяг споживання послуги у будівлі визначається за нормою споживання, встановленою органом місцевого самоврядування, що підлягає щомісячному коригуванню виконавцем за фактичною кількістю годин постачання теплової енергії та фактичною середньомісячною температурою зовнішнього повітря.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12. У разі виходу з ладу або втрати вузла комерційного обліку теплової енергії до відновлення його роботи або заміни ведення комерційного обліку спожитої послуги здійснюється відповідно до </w:t>
            </w:r>
            <w:hyperlink r:id="rId7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13. Початок періоду виходу з ладу вузла комерційного обліку визначається: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за даними електронного архіву - в разі отримання з нього інформації щодо дати початку періоду виходу з ладу вузла комерційного обліку;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з дати, що настає за днем останнього періодичного огляду вузла комерційного обліку, - в разі відсутності електронного архіву.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14. Початок періоду відсутності вузла комерційного обліку у зв'язку з його втратою визначається з дня, що настає за днем останнього дистанційного отримання показань, або з дня, що настає за днем останнього зняття його показань (в усіх інших випадках).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Кінцем періоду відсутності вузла комерційного обліку у зв'язку з його втратою є дата прийняття на абонентський облік вузла комерційного обліку, встановленого на заміну втраченого.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15. На час відсутності вузла комерційного обліку у зв'язку з його ремонтом, проведенням повірки засобів вимірювальної техніки, які є складовою частиною вузла обліку, ведення комерційного обліку здійснюється відповідно до </w:t>
            </w:r>
            <w:hyperlink r:id="rId8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Початок періоду відсутності вузла комерційного обліку у зв'язку з його ремонтом, проведенням повірки засобів вимірювальної техніки, які є складовою частиною вузла обліку, визначається з дати, що настає за днем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розпломбування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вузла комерційного обліку. Кінцем періоду відсутності вузла комерційного обліку у зв'язку з його ремонтом, проведенням повірки засобів вимірювальної техніки, які є складовою частиною вузла обліку, є день прийняття на абонентський облік.</w:t>
            </w:r>
          </w:p>
          <w:p w:rsidR="009A1812" w:rsidRPr="009A1812" w:rsidRDefault="009A1812" w:rsidP="002D681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16. Зняття показань засобів вимірювальної техніки вузла (вузлі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в) комерційного обліку теплової 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енергії здійснюється щомісяця ___ числа з ____ до ____ 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години виконавцем у присутності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споживача або його представника, крім випадків, коли зняття таких показань здійснюється виконавцем за допомогою систем дистанційного зняття показань або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>_____________________________________________________________________________________.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 xml:space="preserve">                                            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       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   (зазначити інший спосіб зняття показань)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У такому разі виконавець зобов'язаний забезпечити можливість самостійного (без додаткового звернення до виконавця в кожному окремому випадку) ознайомлення з показаннями вузла (вузлів) комерційного обліку споживачем шляхом опублікування на офіційному веб-сайті виконавця, зазначення в рахунках на оплату послуги та/або через електронну систему обліку розрахунків споживача.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17. У разі відсутності інформації про показання вузла (вузлів) комерційного обліку та/або недопущення споживачем виконавця до вузла (вузлів) комерційного обліку для зняття показань засобів вимірювальної техніки для визначення обсягу теплової енергії, спожитої в будівлі, визначається середній обсяг споживання теплової енергії в будівлі протягом попереднього опалювального періоду, а у разі відсутності такої інформації - за фактичний час споживання протягом поточного опалювального періоду, але не менше 30 днів.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Після відновлення надання показань вузлів комерційного обліку виконавець зобов'язаний провести перерахунок із споживачем.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Перерахунок із споживачем проводиться у тому розрахунковому періоді, в якому було отримано в установленому порядку інформацію про невідповідність обсягу, але не більш як за 12 розрахункових періодів.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18. Виконавець має право доступу до будівель, приміщень і споруд, у яких встановлено вузли комерційного обліку, для перевірки схоронності таких вузлів обліку, зняття показань засобів вимірювальної техніки, що є складовою вузла комерційного обліку, та періодичного огляду у порядку, визначеному </w:t>
            </w:r>
            <w:hyperlink r:id="rId9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статтею 29 Закону України "Про житлово-комунальні послуги"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і цим договором.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Власник (співвласники) будівлі або його (їх) представник (представники) має (мають) право доступу до місць установлення вузлів комерційного обліку для проведення перевірки схоронності та зняття показань. Втручання в роботу вузла комерційного обліку заборонено.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Періодичний огляд вузла (вузлів) комерційного обліку здійснюється виконавцем під час зняття показань. У разі дистанційного зняття показань періодичний огляд проводиться виконавцем не рідше ніж один раз на рік.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Споживач повідомляє виконавцю про недоліки в роботі вузла комерційного обліку протягом п'яти робочих днів з дня виявлення засобами зв'язку, зазначеними в розділі "Реквізити і підписи сторін" цього договору.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Повірка засобів вимірювальної техніки, які є складовою частиною вузла (вузлів) комерційного обліку, здійснюється відповідно до Порядку подання засобів вимірювальної техніки на періодичну повірку, обслуговування та ремонт, затвердженого </w:t>
            </w:r>
            <w:hyperlink r:id="rId10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8 липня 2015 р. N 474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(Офіційний вісник України, 2015 р., N 55, ст. 1803).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lastRenderedPageBreak/>
        <w:t>Ціна та порядок оплати послуги, порядок та умови внесення змін до договору щодо ціни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9A181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19. Плата виконавцю за послугу за цим договором визначається відповідно до Правил надання послуги з постачання теплової енергії, затверджених </w:t>
            </w:r>
            <w:hyperlink r:id="rId11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21 серпня 2019 р. N 830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(Офіційний вісник України, 2019 р., N 71, ст. 2507), - в редакції постанови Кабінету Міністрів України від 8 вересня 2021 р. N 1022, та </w:t>
            </w:r>
            <w:hyperlink r:id="rId12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 і розраховується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>виходячи з розміру затвердженого уповноваженим органом тарифу та обсягу її споживання.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У разі застосування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двоставкового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тарифу на послугу з постачання теплової енергії плата за послугу з постачання теплової енергії визначається як сума плати, розрахованої виходячи з умовно-змінної частини тарифу (протягом опалювального періоду), а також умовно-постійної частини тарифу (протягом року).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20. Вартістю послуги є встановлений відповідно до законодавства тариф на теплову енергію, який визначається як сума тарифів на виробництво, транспортування та постачання теплової енергії.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Станом на дату укладення цього договору тариф на послугу становить _______ гривень за ____________, а за умови встановлення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двоставкового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тарифу: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 гривень за ____________ - умовно-змінна частина тарифу;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 гривень за ____________ - умовно-постійна частина тарифу.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У разі прийняття уповноваженим органом рішення про зміну ціни/тарифу на послугу з постачання теплової енергії виконавець у строк, що не перевищує 15 днів з дати введення їх у дію, повідомляє про це споживачу з посиланням на рішення відповідного органу.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У разі зміни зазначеного тарифу протягом строку дії цього договору новий розмір тарифу застосовується з моменту його введення в дію без внесення сторонами додаткових змін до цього договору. Виконавець зобов'язаний забезпечити їх оприлюднення на своєму офіційному веб-сайті.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21. Розрахунковим періодом для оплати обсягу спожитої послуги є календарний місяць.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22. Виконавець формує та надає рахунок на оплату спожитої послуги споживачу не пізніше ніж за десять днів до граничного строку внесення плати за спожиту послугу.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Рахунок надається на паперовому носії. На вимогу або за згодою споживача рахунок може надаватися в електронній формі, у тому числі за допомогою доступу до електронних систем обліку розрахунків споживачів.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23. Споживач здійснює оплату за цим договором щомісяця не пізніше останнього дня місяця, що настає за розрахунковим періодом, що є граничним строком внесення плати за спожиту послугу.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24. За бажанням споживача оплата послуги може здійснюватися шляхом внесення авансових платежів.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25. Під час здійснення оплати споживач зобов'язаний зазначити розрахунковий період, за який вона здійснюється, та призначення платежу (плата виконавцю, сплата пені, штрафів).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У разі коли споживачем не визначено розрахунковий період або коли за зазначений споживачем період виникла переплата, виконавець має право зарахувати такий платіж (його частину в розмірі переплати) в рахунок заборгованості споживача за минулі розрахункові періоди у разі її наявності (за винятком погашення пені та штрафів, нарахованих споживачеві), а у разі відсутності такої заборгованості - в рахунок майбутніх платежів споживача, починаючи з найближчих періодів від дати здійснення платежу.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26. Плата за послугу не нараховується за час перерв, визначених </w:t>
            </w:r>
            <w:hyperlink r:id="rId13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lastRenderedPageBreak/>
        <w:t>Права і обов'язки сторін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9A181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27. Споживач має право: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1) одержувати своєчасно та належної якості послугу згідно із законодавством та умовами цього договору;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>2) без додаткової оплати одержувати від виконавця інформацію про ціну/тариф на послугу, загальну вартість місячного платежу, структуру ціни/тарифу на послугу, норми споживання та порядок надання послуги, а також про її споживчі властивості.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Така інформація надається засобами зв'язку, зазначеними в розділі "Реквізити і підписи сторін" цього договору, у строк, визначений </w:t>
            </w:r>
            <w:hyperlink r:id="rId14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Законом України "Про доступ до публічної інформації"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3) на відшкодування збитків, завданих його майну, шкоди, заподіяної його життю або здоров'ю внаслідок неналежного надання або ненадання послуги та незаконного проникнення в належне йому житло (інший об'єкт нерухомого майна) виконавця або його представників;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4) на усунення протягом 50 годин, якщо інше не визначене законодавством, виявлених недоліків у наданні послуги;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5) на зменшення в установленому законодавством порядку розміру плати за послугу в разі її ненадання, надання не в повному обсязі або зниження її якості;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6) отримувати від виконавця неустойку (штраф) у розмірі 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-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 або надання послуги неналежної якості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пов'язаних з отриманням послуги, що виникли з вини споживача);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7) на перевірку кількості та якості послуги в установленому законодавством порядку;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8) складати та підписувати акти-претензії у зв'язку з порушенням порядку надання послуги, зміною її споживчих властивостей та перевищенням строків проведення аварійно-відновних робіт;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9) отримувати без додаткової оплати інформацію від виконавця засобами зв'язку, зазначеними в розділі "Реквізити і підписи сторін" цього договору, про проведені виконавцем нарахування плати за послугу (з розподілом за періодами та видами нарахувань) та отримані від споживача платежі у строк, визначений </w:t>
            </w:r>
            <w:hyperlink r:id="rId15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Законом України "Про доступ до публічної інформації"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10) відключитися від систем (мереж) централізованого опалення (теплопостачання) відповідно до Порядку відключення споживачів від систем централізованого опалення та постачання гарячої води, затвердженого </w:t>
            </w:r>
            <w:hyperlink r:id="rId16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26 липня 2019 р. N 169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11) звертатися до суду в разі порушення виконавцем умов цього договору.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28. Споживач зобов'язаний: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1) своєчасно вживати заходів до усунення виявлених неполадок, пов'язаних з отриманням послуги, що виникли з його вини;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2) забезпечувати цілісність обладнання приладів (вузлів) обліку послуги відповідно до умов цього договору та не втручатися в їх роботу;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3) оплачувати спожиту послугу за ціною/тарифом, встановленими відповідно до законодавства, у строки, встановлені цим договором;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4) дотримуватися правил безпеки, зокрема пожежної та газової, санітарних норм;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5) у разі несвоєчасного здійснення платежів за послугу сплачувати пеню в розмірах, установлених цим договором;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6) дотримуватися вимог нормативно-правових актів та укладеного договору;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>7) допускати у будівлю виконавця або його представників у порядку, визначеному </w:t>
            </w:r>
            <w:hyperlink r:id="rId17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статтею 29 Закону України "Про житлово-комунальні послуги"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і цим договором, для перевірки показань засобів вимірювальної техніки;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8) інформувати протягом місяця виконавця про зміну власника будівлі споживача у разі відчуження будівлі шляхом надання виконавцю витягу з Реєстру речових прав на нерухоме майно;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9) дотримуватися вимог житлового та містобудівного законодавства під час проведення ремонту чи реконструкції будівлі (іншого об'єкта нерухомого майна), не допускати порушення законних прав та інтересів інших учасників відносин у сфері житлово-комунальних послуг;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10) забезпечити своєчасну підготовку об'єктів, що перебувають у його власності (користуванні), до експлуатації в осінньо-зимовий період.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29. Виконавець має право: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1) вимагати від споживача дотримання вимог правил експлуатації жилих приміщень, санітарно-гігієнічних правил і правил пожежної безпеки, інших нормативно-правових актів у сфері комунальних послуг;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2) вимагати від споживача своєчасного проведення робіт з усунення виявлених неполадок, пов'язаних з отриманням послуги, що виникли з вини споживача, або відшкодування вартості таких робіт, якщо їх проводив виконавець;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3) доступу до будівлі споживача для ліквідації аварій, проведення технічних та профілактичних оглядів і перевірки показань вузлів обліку, що забезпечують облік споживання послуги в будівлі, в порядку, визначеному законом і цим договором;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4) обмежити/припини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ти надання послуги в разі її нес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плати або оплати не в повному обсязі протягом 30 днів з дня, що настає за днем отримання споживачем попередження від виконавця, крім випадків, коли якість та/або кількість послуги не відповідає умовам цього договору;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5) на відшкодування збитків у разі наявності порушень у роботі теплового обладнання споживача, що призвели до перебоїв у технологічному процесі постачання теплової енергії;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6) звертатися до суду в разі порушення споживачем умов цього договору.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30. Виконавець зобов'язаний: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1) забезпечувати своєчасність надання, безперервність і відповідну якість послуги згідно із законодавством та умовами цього договору, зокрема шляхом створення системи управління якістю відповідно до національних або міжнародних стандартів;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2) забезпечити надійне постачання обсягів теплової енергії відповідно до умов договору;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3) без додаткової оплати надавати споживачу в установленому законодавством порядку необхідну інформацію про ціну/тариф, загальну вартість місячного платежу, структуру ціни/тарифу, норми споживання та порядок надання послуги, її споживчі властивості, а також іншу інформацію, передбачену законодавством;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4) своєчасно проводити підготовку об'єктів, що забезпечують надання послуги та перебувають у його власності (користуванні), до експлуатації в осінньо-зимовий період;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5) розглядати у визначений законодавством строк претензії та скарги споживача і проводити відповідні перерахунки розміру плати за послугу в разі її ненадання, надання не в повному обсязі, несвоєчасно або надання послуги неналежної якості, а також в інших випадках, визначених цим договором;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>6) вживати заходів до ліквідації аварій, усунення порушень якості послуги, що сталися з вини виконавця або на об'єктах, що забезпечують надання послуги та перебувають у його власності (користуванні), в установлені законодавством строки;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7) виплачувати споживачу штраф за перевищення встановлених строків проведення аварійно-відновних робіт на об'єктах, що забезпечують надання послуги та перебувають у його власності (користуванні), у розмірі, визначеному цим договором;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8) своєчасно реагувати на виклики споживача, підписувати акти-претензії, вести облік вимог (претензій) споживача у зв'язку з порушенням порядку надання послуги;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9) своєчасно та власним коштом проводити роботи з усунення виявлених неполадок, пов'язаних з наданням послуги, що виникли з його вини;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10) інформувати споживача про намір зміни цін/тарифів на послугу відповідно до Порядку інформування споживачів про намір зміни цін/тарифів на комунальні послуги з обґрунтуванням такої необхідності, затвердженого </w:t>
            </w:r>
            <w:hyperlink r:id="rId18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5 червня 2018 р. N 130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11) контролювати дотримання встановлених </w:t>
            </w:r>
            <w:proofErr w:type="spellStart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міжповірочних</w:t>
            </w:r>
            <w:proofErr w:type="spellEnd"/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інтервалів для засобів вимірювальної техніки, які є складовою частиною вузла комерційного обліку;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12) протягом п'яти робочих днів надсилати управителю або відповідним виконавцям скарги споживачів щодо надання комунальних послуг у разі, коли вирішення таких питань належить до повноважень управителя або інших виконавців послуг.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lastRenderedPageBreak/>
        <w:t>Відповідальність сторін за порушення вимог договору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9A181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31. Сторони несуть відповідальність за невиконання умов цього договору відповідно до цього договору або закону.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32. У разі несвоєчасного здійснення платежів споживач зобов'язаний сплатити пеню в розмірі ________ гривень, але не більше 0,01 відсотка суми боргу за кожен день прострочення. Загальний розмір сплаченої пені не може перевищувати 100 відсотків загальної суми боргу.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Нарахування пені починається з першого робочого дня, що настає за останнім днем граничного строку внесення плати за послугу.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Пеня не нараховується за умови наявності заборгованості держави за надані населенню пільги та житлові субсидії та/або наявності у споживача заборгованості з оплати праці, підтвердженої належним чином.</w:t>
            </w:r>
            <w:bookmarkStart w:id="0" w:name="_GoBack"/>
            <w:bookmarkEnd w:id="0"/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33. У разі ненадання послуги, надання її не в повному обсязі або надання послуги неналежної якості виконавець зобов'язаний самостійно протягом місяця, що настає за розрахунковим, здійснити перерахунок вартості послуги за весь період її ненадання, надання не в повному обсязі або надання послуги неналежної якості відповідно до порядку, затвердженого Кабінетом Міністрів України, а також сплатити споживачеві неустойку (штраф) у розмірі 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-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 або надання послуги неналежної якості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пов'язаних з отриманням послуги, що виникли з вини споживача).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>34. Оформлення претензій споживача щодо ненадання послуги, надання її не в повному обсязі або надання послуги неналежної якості здійснюється в порядку, визначеному </w:t>
            </w:r>
            <w:hyperlink r:id="rId19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статтею 27 Закону України "Про житлово-комунальні послуги"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Перевірка відповідності якості надання послуги проводиться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параметрам, передбаченим договором про надання відповідних послуг, затвердженого </w:t>
            </w:r>
            <w:hyperlink r:id="rId20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27 грудня 2018 р. N 1145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(Офіційний вісник України, 2019 р., N 4, ст. 133).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Виконавець зобов'язаний прибути на виклик споживача для перевірки якості надання послуги у строк ____________________________, але не пізніше ніж протягом однієї доби з моменту отримання відповідного повідомлення споживача.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35. Виконавець не несе відповідальності за ненадання послуги, надання її не в повному обсязі або надання послуги неналежної якості, якщо доведе, що в точці обліку послуги її якість відповідала вимогам, установленим актами законодавства та цим договором.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Виконавець не несе відповідальності за ненадання послуги, надання її не в повному обсязі або надання послуги неналежної якості під час перерв, передбачених </w:t>
            </w:r>
            <w:hyperlink r:id="rId21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36. Виконавець має право обмежити (припинити) надання послуги споживачеві у разі непогашення в повному обсязі заборгованості з оплати спожитої послуги.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Виконавець надсилає споживачеві попередження про те, що в разі непогашення ним заборгованості надання послуги може бути обмежене (припинене), рекомендованим листом (з повідомленням про вручення) та шляхом повідомлення споживачеві через його особистий кабінет або в інший с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посіб 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Таке попередження надсилається споживачеві не раніше наступного робочого дня після закінчення граничного строку оплати, визначеного законодавством та/або договором.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Обмеження (припинення) надання послуг здійснюється виконавцем відповідно до </w:t>
            </w:r>
            <w:hyperlink r:id="rId22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частини четвертої статті 26 Закону України "Про житлово-комунальні послуги"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протягом 30 днів з дня отримання споживачем попередження від виконавця.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37. Постачання послуги у разі обмеження (припинення) її надання відновлюється в повному обсязі протягом наступного дня з дати повного погашення заборгованості за фактично спожиту послугу чи з дати укладення угоди про реструктуризацію заборгованості.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Витрати виконавця з обмеження (припинення) надання послуги та з відновлення її постачання у випадках, передбачених цим пунктом, покладаються на споживача, якому здійснювалося обмеження надання послуги, відповідно до кошторису витрат на відновлення надання послуг, складеного виконавцем.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lastRenderedPageBreak/>
        <w:t>Строк дії договору, порядок і умови внесення до нього змін, продовження його дії та розірвання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9A181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38. Цей договір набирає чинності з моменту його підписання і діє протягом одного року з дати набрання чинності.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39. Якщо за один місяць до закінчення строку дії цього договору жодна із сторін не повідомить письмово іншій стороні про відмову від договору, договір вважається продовженим на черговий однорічний строк.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lastRenderedPageBreak/>
              <w:t>40. Цей договір може бути розірваний у разі прийняття рішення власником щодо відключення будинку від систем (мереж) централізованого опалення (теплопостачання) відповідно до Порядку відключення споживачів від систем централізованого опалення та постачання гарячої води, затвердженого </w:t>
            </w:r>
            <w:hyperlink r:id="rId23" w:tgtFrame="_top" w:history="1"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9A18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26 липня 2019 р. N 169</w:t>
              </w:r>
            </w:hyperlink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41. Припинення дії цього договору не звільняє сторони від обов'язку виконання зобов'язань, які на дату такого припинення залишилися невиконаними.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42. У разі зміни тарифу на теплову енергію з моменту його введення в дію застосовується відповідна нова ціна (вартість) послуги без внесення сторонами додаткових змін до цього договору.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43. У разі зміни даних, зазначених у розділі "Реквізити і підписи сторін" цього договору, сторона письмово повідомляє про це іншій стороні у семиденний строк з дати настання змін.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lastRenderedPageBreak/>
        <w:t>Прикінцеві положення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9A1812" w:rsidRPr="009A1812" w:rsidTr="009A1812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44. Цей договір складено у двох примірниках, які мають однакову юридичну силу, по одному для кожної із сторін.</w:t>
            </w:r>
          </w:p>
          <w:p w:rsidR="009A1812" w:rsidRPr="009A1812" w:rsidRDefault="009A1812" w:rsidP="009A181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45. Якщо цим договором, законодавством або письмовою домовленістю сторін не передбачено інше, повідомлення, передбачені цим договором, сторони надсилають одна одній засобами зв'язку, зазначеними в розділі "Реквізити і підписи сторін" цього договору.</w:t>
            </w:r>
          </w:p>
        </w:tc>
      </w:tr>
    </w:tbl>
    <w:p w:rsidR="009A1812" w:rsidRPr="009A1812" w:rsidRDefault="009A1812" w:rsidP="009A181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9A181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Реквізити і підписи сторін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043"/>
        <w:gridCol w:w="5457"/>
      </w:tblGrid>
      <w:tr w:rsidR="009A1812" w:rsidRPr="009A1812" w:rsidTr="009A1812">
        <w:trPr>
          <w:tblCellSpacing w:w="22" w:type="dxa"/>
          <w:jc w:val="center"/>
        </w:trPr>
        <w:tc>
          <w:tcPr>
            <w:tcW w:w="2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                    Виконавець:</w:t>
            </w:r>
          </w:p>
        </w:tc>
        <w:tc>
          <w:tcPr>
            <w:tcW w:w="2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                    Споживач:</w:t>
            </w:r>
          </w:p>
        </w:tc>
      </w:tr>
      <w:tr w:rsidR="009A1812" w:rsidRPr="009A1812" w:rsidTr="009A1812">
        <w:trPr>
          <w:tblCellSpacing w:w="22" w:type="dxa"/>
          <w:jc w:val="center"/>
        </w:trPr>
        <w:tc>
          <w:tcPr>
            <w:tcW w:w="2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найменування/прізвище, ім'я та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по батькові (за наявності) 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</w:t>
            </w:r>
          </w:p>
        </w:tc>
        <w:tc>
          <w:tcPr>
            <w:tcW w:w="2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найменування/прізвище, ім'я та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по батькові (за наявності) 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</w:t>
            </w:r>
          </w:p>
        </w:tc>
      </w:tr>
      <w:tr w:rsidR="009A1812" w:rsidRPr="009A1812" w:rsidTr="009A1812">
        <w:trPr>
          <w:tblCellSpacing w:w="22" w:type="dxa"/>
          <w:jc w:val="center"/>
        </w:trPr>
        <w:tc>
          <w:tcPr>
            <w:tcW w:w="2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код згідно з ЄДРПОУ ________________________________</w:t>
            </w:r>
          </w:p>
        </w:tc>
        <w:tc>
          <w:tcPr>
            <w:tcW w:w="2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ідентифікаційний номер (код згідно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з ЄДРПОУ) _______________________</w:t>
            </w:r>
          </w:p>
        </w:tc>
      </w:tr>
      <w:tr w:rsidR="009A1812" w:rsidRPr="009A1812" w:rsidTr="009A1812">
        <w:trPr>
          <w:tblCellSpacing w:w="22" w:type="dxa"/>
          <w:jc w:val="center"/>
        </w:trPr>
        <w:tc>
          <w:tcPr>
            <w:tcW w:w="2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місцезнаходження 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поточний рахунок 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у ______________________________,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МФО 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контакти для передачі показань вузлів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обліку: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номер телефону 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адреса електронної пошти 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офі</w:t>
            </w:r>
            <w:r w:rsidR="002D6811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ційний веб-сайт 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(найменування посади)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        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(підпис)                       (прізвище, ім'я та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 по батькові (за наявності)</w:t>
            </w:r>
          </w:p>
        </w:tc>
        <w:tc>
          <w:tcPr>
            <w:tcW w:w="2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адреса 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номер телефону 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адреса електронної пошти 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абонентський номер споживача 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(найменування посади)</w:t>
            </w:r>
          </w:p>
          <w:p w:rsidR="009A1812" w:rsidRPr="009A1812" w:rsidRDefault="009A1812" w:rsidP="009A181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        __________________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(підпис)                        (прізвище, ім'я та</w:t>
            </w:r>
            <w:r w:rsidRPr="009A181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                                   по батькові (за наявності)".</w:t>
            </w:r>
          </w:p>
        </w:tc>
      </w:tr>
    </w:tbl>
    <w:p w:rsidR="000E530B" w:rsidRPr="009A1812" w:rsidRDefault="000E530B">
      <w:pPr>
        <w:rPr>
          <w:rFonts w:ascii="Times New Roman" w:hAnsi="Times New Roman" w:cs="Times New Roman"/>
          <w:sz w:val="24"/>
          <w:szCs w:val="24"/>
        </w:rPr>
      </w:pPr>
    </w:p>
    <w:sectPr w:rsidR="000E530B" w:rsidRPr="009A18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2D"/>
    <w:rsid w:val="000E530B"/>
    <w:rsid w:val="002D6811"/>
    <w:rsid w:val="007E548F"/>
    <w:rsid w:val="00975E2D"/>
    <w:rsid w:val="009A1812"/>
    <w:rsid w:val="00D0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B7308-BBB0-4541-AD56-8B0A4573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77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2954.html" TargetMode="External"/><Relationship Id="rId13" Type="http://schemas.openxmlformats.org/officeDocument/2006/relationships/hyperlink" Target="http://search.ligazakon.ua/l_doc2.nsf/link1/T172189.html" TargetMode="External"/><Relationship Id="rId18" Type="http://schemas.openxmlformats.org/officeDocument/2006/relationships/hyperlink" Target="http://search.ligazakon.ua/l_doc2.nsf/link1/RE32205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earch.ligazakon.ua/l_doc2.nsf/link1/T172189.html" TargetMode="External"/><Relationship Id="rId7" Type="http://schemas.openxmlformats.org/officeDocument/2006/relationships/hyperlink" Target="http://search.ligazakon.ua/l_doc2.nsf/link1/RE32954.html" TargetMode="External"/><Relationship Id="rId12" Type="http://schemas.openxmlformats.org/officeDocument/2006/relationships/hyperlink" Target="http://search.ligazakon.ua/l_doc2.nsf/link1/RE32954.html" TargetMode="External"/><Relationship Id="rId17" Type="http://schemas.openxmlformats.org/officeDocument/2006/relationships/hyperlink" Target="http://search.ligazakon.ua/l_doc2.nsf/link1/T172189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search.ligazakon.ua/l_doc2.nsf/link1/RE33953.html" TargetMode="External"/><Relationship Id="rId20" Type="http://schemas.openxmlformats.org/officeDocument/2006/relationships/hyperlink" Target="http://search.ligazakon.ua/l_doc2.nsf/link1/KP181145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T172119.html" TargetMode="External"/><Relationship Id="rId11" Type="http://schemas.openxmlformats.org/officeDocument/2006/relationships/hyperlink" Target="http://search.ligazakon.ua/l_doc2.nsf/link1/KP190830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search.ligazakon.ua/l_doc2.nsf/link1/RE32954.html" TargetMode="External"/><Relationship Id="rId15" Type="http://schemas.openxmlformats.org/officeDocument/2006/relationships/hyperlink" Target="http://search.ligazakon.ua/l_doc2.nsf/link1/T112939.html" TargetMode="External"/><Relationship Id="rId23" Type="http://schemas.openxmlformats.org/officeDocument/2006/relationships/hyperlink" Target="http://search.ligazakon.ua/l_doc2.nsf/link1/RE33953.html" TargetMode="External"/><Relationship Id="rId10" Type="http://schemas.openxmlformats.org/officeDocument/2006/relationships/hyperlink" Target="http://search.ligazakon.ua/l_doc2.nsf/link1/KP150474.html" TargetMode="External"/><Relationship Id="rId19" Type="http://schemas.openxmlformats.org/officeDocument/2006/relationships/hyperlink" Target="http://search.ligazakon.ua/l_doc2.nsf/link1/T172189.html" TargetMode="External"/><Relationship Id="rId4" Type="http://schemas.openxmlformats.org/officeDocument/2006/relationships/hyperlink" Target="http://search.ligazakon.ua/l_doc2.nsf/link1/T172189.html" TargetMode="External"/><Relationship Id="rId9" Type="http://schemas.openxmlformats.org/officeDocument/2006/relationships/hyperlink" Target="http://search.ligazakon.ua/l_doc2.nsf/link1/T172189.html" TargetMode="External"/><Relationship Id="rId14" Type="http://schemas.openxmlformats.org/officeDocument/2006/relationships/hyperlink" Target="http://search.ligazakon.ua/l_doc2.nsf/link1/T112939.html" TargetMode="External"/><Relationship Id="rId22" Type="http://schemas.openxmlformats.org/officeDocument/2006/relationships/hyperlink" Target="http://search.ligazakon.ua/l_doc2.nsf/link1/T1721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20867</Words>
  <Characters>11895</Characters>
  <Application>Microsoft Office Word</Application>
  <DocSecurity>0</DocSecurity>
  <Lines>99</Lines>
  <Paragraphs>65</Paragraphs>
  <ScaleCrop>false</ScaleCrop>
  <Company/>
  <LinksUpToDate>false</LinksUpToDate>
  <CharactersWithSpaces>32697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2022-02-22T13:17:00Z</dcterms:created>
  <dcterms:modified xsi:type="dcterms:W3CDTF">2022-02-22T14:15:00Z</dcterms:modified>
</cp:coreProperties>
</file>