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B8F" w:rsidRPr="003B4B20" w:rsidRDefault="00580B8F" w:rsidP="00580B8F">
      <w:pPr>
        <w:spacing w:after="0" w:line="240" w:lineRule="auto"/>
        <w:ind w:right="-284"/>
        <w:contextualSpacing/>
        <w:jc w:val="right"/>
        <w:rPr>
          <w:rFonts w:ascii="Times New Roman" w:eastAsia="SimSun" w:hAnsi="Times New Roman" w:cs="Times New Roman"/>
          <w:b/>
          <w:i/>
          <w:iCs/>
          <w:sz w:val="24"/>
          <w:szCs w:val="24"/>
          <w:lang w:val="ru-RU" w:eastAsia="ru-RU"/>
        </w:rPr>
      </w:pPr>
      <w:r>
        <w:rPr>
          <w:rFonts w:ascii="Times New Roman" w:eastAsia="SimSun" w:hAnsi="Times New Roman" w:cs="Times New Roman"/>
          <w:b/>
          <w:i/>
          <w:iCs/>
          <w:sz w:val="24"/>
          <w:szCs w:val="24"/>
          <w:lang w:val="ru-RU" w:eastAsia="ru-RU"/>
        </w:rPr>
        <w:t>Приложение</w:t>
      </w:r>
    </w:p>
    <w:p w:rsidR="00580B8F" w:rsidRPr="00580B8F" w:rsidRDefault="00580B8F" w:rsidP="00580B8F">
      <w:pPr>
        <w:spacing w:after="0" w:line="240" w:lineRule="auto"/>
        <w:ind w:right="-284"/>
        <w:contextualSpacing/>
        <w:jc w:val="right"/>
        <w:rPr>
          <w:rFonts w:ascii="Times New Roman" w:eastAsia="SimSun" w:hAnsi="Times New Roman" w:cs="Times New Roman"/>
          <w:i/>
          <w:iCs/>
          <w:sz w:val="24"/>
          <w:szCs w:val="24"/>
          <w:lang w:val="ru-RU" w:eastAsia="ru-RU"/>
        </w:rPr>
      </w:pPr>
      <w:r w:rsidRPr="00580B8F">
        <w:rPr>
          <w:rFonts w:ascii="Times New Roman" w:eastAsia="SimSun" w:hAnsi="Times New Roman" w:cs="Times New Roman"/>
          <w:i/>
          <w:iCs/>
          <w:sz w:val="24"/>
          <w:szCs w:val="24"/>
          <w:lang w:val="ru-RU" w:eastAsia="ru-RU"/>
        </w:rPr>
        <w:t>к письму Комитета ОСЖД</w:t>
      </w:r>
    </w:p>
    <w:p w:rsidR="00580B8F" w:rsidRPr="00580B8F" w:rsidRDefault="00580B8F" w:rsidP="00580B8F">
      <w:pPr>
        <w:spacing w:after="0" w:line="240" w:lineRule="auto"/>
        <w:ind w:right="-284"/>
        <w:contextualSpacing/>
        <w:jc w:val="right"/>
        <w:rPr>
          <w:rFonts w:ascii="Times New Roman" w:eastAsia="SimSun" w:hAnsi="Times New Roman" w:cs="Times New Roman"/>
          <w:i/>
          <w:iCs/>
          <w:sz w:val="24"/>
          <w:szCs w:val="24"/>
          <w:lang w:val="ru-RU" w:eastAsia="ru-RU"/>
        </w:rPr>
      </w:pPr>
      <w:r w:rsidRPr="00580B8F">
        <w:rPr>
          <w:rFonts w:ascii="Times New Roman" w:eastAsia="Times New Roman" w:hAnsi="Times New Roman" w:cs="Times New Roman"/>
          <w:i/>
          <w:sz w:val="26"/>
          <w:szCs w:val="24"/>
          <w:lang w:val="ru-RU" w:eastAsia="ru-RU"/>
        </w:rPr>
        <w:t xml:space="preserve">№ </w:t>
      </w:r>
      <w:r w:rsidRPr="00580B8F">
        <w:rPr>
          <w:rFonts w:ascii="Times New Roman" w:eastAsia="Times New Roman" w:hAnsi="Times New Roman" w:cs="Times New Roman"/>
          <w:i/>
          <w:sz w:val="26"/>
          <w:szCs w:val="24"/>
          <w:lang w:val="lv-LV" w:eastAsia="ru-RU"/>
        </w:rPr>
        <w:t>III-OA.20/</w:t>
      </w:r>
      <w:r w:rsidRPr="00580B8F">
        <w:rPr>
          <w:rFonts w:ascii="Times New Roman" w:eastAsia="Times New Roman" w:hAnsi="Times New Roman" w:cs="Times New Roman"/>
          <w:i/>
          <w:sz w:val="26"/>
          <w:szCs w:val="24"/>
          <w:lang w:val="ru-RU" w:eastAsia="ru-RU"/>
        </w:rPr>
        <w:t>46</w:t>
      </w:r>
      <w:r w:rsidRPr="00580B8F">
        <w:rPr>
          <w:rFonts w:ascii="Times New Roman" w:eastAsia="Times New Roman" w:hAnsi="Times New Roman" w:cs="Times New Roman"/>
          <w:i/>
          <w:sz w:val="26"/>
          <w:szCs w:val="24"/>
          <w:lang w:val="ru-RU" w:eastAsia="ru-RU"/>
        </w:rPr>
        <w:t xml:space="preserve"> от 25 ноября 2020 г.</w:t>
      </w:r>
    </w:p>
    <w:p w:rsidR="00580B8F" w:rsidRPr="00F4303E" w:rsidRDefault="00580B8F" w:rsidP="00580B8F">
      <w:pPr>
        <w:spacing w:after="0" w:line="240" w:lineRule="auto"/>
        <w:ind w:right="-284"/>
        <w:contextualSpacing/>
        <w:jc w:val="center"/>
        <w:rPr>
          <w:rFonts w:ascii="Times New Roman" w:eastAsia="SimSun" w:hAnsi="Times New Roman" w:cs="Times New Roman"/>
          <w:b/>
          <w:iCs/>
          <w:sz w:val="24"/>
          <w:szCs w:val="24"/>
          <w:lang w:val="ru-RU" w:eastAsia="ru-RU"/>
        </w:rPr>
      </w:pPr>
    </w:p>
    <w:p w:rsidR="00580B8F" w:rsidRPr="00F4303E" w:rsidRDefault="00580B8F" w:rsidP="00580B8F">
      <w:pPr>
        <w:spacing w:after="0" w:line="240" w:lineRule="auto"/>
        <w:ind w:right="-284"/>
        <w:contextualSpacing/>
        <w:jc w:val="center"/>
        <w:rPr>
          <w:rFonts w:ascii="Times New Roman" w:eastAsia="SimSun" w:hAnsi="Times New Roman" w:cs="Times New Roman"/>
          <w:b/>
          <w:iCs/>
          <w:sz w:val="24"/>
          <w:szCs w:val="24"/>
          <w:lang w:val="ru-RU" w:eastAsia="ru-RU"/>
        </w:rPr>
      </w:pPr>
    </w:p>
    <w:p w:rsidR="00580B8F" w:rsidRPr="00F4303E" w:rsidRDefault="00580B8F" w:rsidP="00580B8F">
      <w:pPr>
        <w:spacing w:after="0" w:line="240" w:lineRule="auto"/>
        <w:ind w:right="-284"/>
        <w:contextualSpacing/>
        <w:jc w:val="center"/>
        <w:rPr>
          <w:rFonts w:ascii="Times New Roman" w:eastAsia="SimSun" w:hAnsi="Times New Roman" w:cs="Times New Roman"/>
          <w:b/>
          <w:iCs/>
          <w:sz w:val="32"/>
          <w:szCs w:val="32"/>
          <w:lang w:val="ru-RU" w:eastAsia="ru-RU"/>
        </w:rPr>
      </w:pPr>
      <w:r w:rsidRPr="00F4303E">
        <w:rPr>
          <w:rFonts w:ascii="Times New Roman" w:eastAsia="SimSun" w:hAnsi="Times New Roman" w:cs="Times New Roman"/>
          <w:b/>
          <w:iCs/>
          <w:sz w:val="32"/>
          <w:szCs w:val="32"/>
          <w:lang w:val="ru-RU" w:eastAsia="ru-RU"/>
        </w:rPr>
        <w:t xml:space="preserve"> ПЕРЕЧЕНЬ</w:t>
      </w:r>
    </w:p>
    <w:p w:rsidR="00580B8F" w:rsidRPr="00F4303E" w:rsidRDefault="00580B8F" w:rsidP="00580B8F">
      <w:pPr>
        <w:spacing w:after="0" w:line="240" w:lineRule="auto"/>
        <w:ind w:right="-284"/>
        <w:contextualSpacing/>
        <w:jc w:val="center"/>
        <w:rPr>
          <w:rFonts w:ascii="Times New Roman" w:eastAsia="SimSun" w:hAnsi="Times New Roman" w:cs="Times New Roman"/>
          <w:b/>
          <w:iCs/>
          <w:sz w:val="32"/>
          <w:szCs w:val="32"/>
          <w:lang w:val="ru-RU" w:eastAsia="ru-RU"/>
        </w:rPr>
      </w:pPr>
      <w:r w:rsidRPr="00F4303E">
        <w:rPr>
          <w:rFonts w:ascii="Times New Roman" w:eastAsia="SimSun" w:hAnsi="Times New Roman" w:cs="Times New Roman"/>
          <w:b/>
          <w:iCs/>
          <w:sz w:val="32"/>
          <w:szCs w:val="32"/>
          <w:lang w:val="ru-RU" w:eastAsia="ru-RU"/>
        </w:rPr>
        <w:t>изменений и дополнений в Договор о ПГВ</w:t>
      </w:r>
    </w:p>
    <w:p w:rsidR="00580B8F" w:rsidRDefault="00580B8F" w:rsidP="00580B8F">
      <w:pPr>
        <w:spacing w:after="0" w:line="240" w:lineRule="auto"/>
        <w:ind w:right="-284"/>
        <w:contextualSpacing/>
        <w:rPr>
          <w:rFonts w:ascii="Times New Roman" w:eastAsia="SimSun" w:hAnsi="Times New Roman" w:cs="Times New Roman"/>
          <w:b/>
          <w:iCs/>
          <w:sz w:val="24"/>
          <w:szCs w:val="24"/>
          <w:lang w:val="ru-RU" w:eastAsia="ru-RU"/>
        </w:rPr>
      </w:pPr>
    </w:p>
    <w:p w:rsidR="00580B8F" w:rsidRPr="00DE74E6" w:rsidRDefault="00580B8F" w:rsidP="00580B8F">
      <w:pPr>
        <w:pStyle w:val="a5"/>
        <w:numPr>
          <w:ilvl w:val="0"/>
          <w:numId w:val="1"/>
        </w:numPr>
        <w:spacing w:after="0" w:line="240" w:lineRule="auto"/>
        <w:ind w:right="-284"/>
        <w:jc w:val="center"/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</w:pPr>
      <w:r w:rsidRPr="00DE74E6"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  <w:t>Приложение Б:</w:t>
      </w:r>
    </w:p>
    <w:p w:rsidR="00580B8F" w:rsidRPr="00F4303E" w:rsidRDefault="00580B8F" w:rsidP="00580B8F">
      <w:pPr>
        <w:spacing w:after="0" w:line="240" w:lineRule="auto"/>
        <w:ind w:left="720" w:right="-284"/>
        <w:contextualSpacing/>
        <w:jc w:val="center"/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</w:pPr>
    </w:p>
    <w:p w:rsidR="00580B8F" w:rsidRPr="00414ADC" w:rsidRDefault="00580B8F" w:rsidP="00580B8F">
      <w:pPr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0D5D60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1.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  <w:t>Подп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ункт 3.7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изложить в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следующей редакции:</w:t>
      </w:r>
    </w:p>
    <w:p w:rsidR="00580B8F" w:rsidRPr="007C4D22" w:rsidRDefault="00580B8F" w:rsidP="00580B8F">
      <w:pPr>
        <w:keepLines/>
        <w:tabs>
          <w:tab w:val="left" w:pos="567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«</w:t>
      </w:r>
      <w:r w:rsidRPr="007C4D2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3.7.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7C4D2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Права и обязанности принимающей железнодорожной компании в отношении принятых вагонов, вытекающие из настоящих Правил, возникают:</w:t>
      </w:r>
    </w:p>
    <w:p w:rsidR="00580B8F" w:rsidRPr="007C4D22" w:rsidRDefault="00580B8F" w:rsidP="00580B8F">
      <w:pPr>
        <w:keepLines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7C4D2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для вагонов, не относящихся к 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агонам совместного пользования,</w:t>
      </w:r>
      <w:r w:rsidRPr="007C4D2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br/>
      </w:r>
      <w:r w:rsidRPr="007C4D2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 момента приема вагона по договору перевозки от отправителя или от сдающей железнодорожной компании и заканчиваются с момента сдачи получателю по окончании договора перевозки или другой железнодорожной компании;</w:t>
      </w:r>
    </w:p>
    <w:p w:rsidR="00580B8F" w:rsidRDefault="00580B8F" w:rsidP="00580B8F">
      <w:pPr>
        <w:keepLines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7C4D2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для вагонов совместного пользования с момента приема вагона от сдающей железнодорожной компании и заканчиваются в момент передачи вагона другой железнодорожной компании уча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стнику (Стороне) Договора о ПГВ</w:t>
      </w:r>
      <w:r w:rsidRPr="00DE74E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».</w:t>
      </w:r>
    </w:p>
    <w:p w:rsidR="00580B8F" w:rsidRDefault="00580B8F" w:rsidP="00580B8F">
      <w:pPr>
        <w:keepLines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Pr="00BD61D9" w:rsidRDefault="00580B8F" w:rsidP="00580B8F">
      <w:pPr>
        <w:keepLines/>
        <w:suppressAutoHyphens/>
        <w:spacing w:after="0" w:line="240" w:lineRule="auto"/>
        <w:ind w:left="720" w:hanging="86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0D5D60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2.</w:t>
      </w: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  <w:t>В подп</w:t>
      </w: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е</w:t>
      </w: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4.6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поменять нумерацию подпункта 4.6.4 на 4.6.5 и подпункт 4.6 </w:t>
      </w: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дополнить новым подпунктом:</w:t>
      </w:r>
    </w:p>
    <w:p w:rsidR="00580B8F" w:rsidRDefault="00580B8F" w:rsidP="00580B8F">
      <w:pPr>
        <w:keepLines/>
        <w:suppressAutoHyphens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«</w:t>
      </w:r>
      <w:r w:rsidRPr="003D15D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4.6.4.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3D15D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если груз, погруженный в вагон, не принимается в случаях, оговоренных в соглашении о передаче грузов между перевозчиками, либо на ос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новании положений пункта 10.24 С</w:t>
      </w:r>
      <w:r w:rsidRPr="003D15D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И к СМГС;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».</w:t>
      </w:r>
    </w:p>
    <w:p w:rsidR="00580B8F" w:rsidRDefault="00580B8F" w:rsidP="00580B8F">
      <w:pPr>
        <w:keepLines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keepLines/>
        <w:tabs>
          <w:tab w:val="left" w:pos="756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0D5D60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  <w:t>В конце последнего предложения подпункта 5.1 дополнить словами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:</w:t>
      </w:r>
    </w:p>
    <w:p w:rsidR="00580B8F" w:rsidRPr="00414ADC" w:rsidRDefault="00580B8F" w:rsidP="00580B8F">
      <w:pPr>
        <w:keepLines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«</w:t>
      </w:r>
      <w:r w:rsidRPr="00C734C3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который направляется владельцу вагона.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».</w:t>
      </w:r>
    </w:p>
    <w:p w:rsidR="00580B8F" w:rsidRPr="00414ADC" w:rsidRDefault="00580B8F" w:rsidP="00580B8F">
      <w:pPr>
        <w:keepLines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Pr="00414ADC" w:rsidRDefault="00580B8F" w:rsidP="00580B8F">
      <w:pPr>
        <w:keepLines/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0D5D60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</w:r>
      <w:r w:rsidRPr="000D5D6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Первый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и второй </w:t>
      </w:r>
      <w:r w:rsidRPr="000D5D6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абзац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ы</w:t>
      </w:r>
      <w:r w:rsidRPr="000D5D6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под</w:t>
      </w:r>
      <w:r w:rsidRPr="000D5D6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пункта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6.3.2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изложить в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следующей редакции:</w:t>
      </w:r>
    </w:p>
    <w:p w:rsidR="00580B8F" w:rsidRPr="00417610" w:rsidRDefault="00580B8F" w:rsidP="00580B8F">
      <w:pPr>
        <w:keepLines/>
        <w:suppressAutoHyphens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6.3.2. </w:t>
      </w:r>
      <w:r w:rsidRPr="0041761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если стоимость ремонта, включая расходы, связанные с перевозкой вагона к месту ремонта, превышает 1000 швейцарских франков – запросить указания владельца вагона (тележки) о дальнейших действиях с вагоном, направив в течение семи суток с момента повреждения в его адрес протокол согласно </w:t>
      </w:r>
      <w:r w:rsidRPr="000D279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Приложению 5  к ПГВ</w:t>
      </w:r>
      <w:r w:rsidRPr="0041761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и запрос согласно </w:t>
      </w:r>
      <w:r w:rsidRPr="000D279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Приложению 6 к ПГВ.</w:t>
      </w:r>
    </w:p>
    <w:p w:rsidR="00580B8F" w:rsidRDefault="00580B8F" w:rsidP="00580B8F">
      <w:pPr>
        <w:keepLines/>
        <w:suppressAutoHyphens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1761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Владелец вагона (тележки) в течение семи суток после получения протокола и запроса сообщает железнодорожной компании-пользовательнице указания о дальнейших действиях с вагоном (тележкой).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».</w:t>
      </w:r>
    </w:p>
    <w:p w:rsidR="00580B8F" w:rsidRDefault="00580B8F" w:rsidP="00580B8F">
      <w:pPr>
        <w:keepLines/>
        <w:tabs>
          <w:tab w:val="left" w:pos="709"/>
          <w:tab w:val="left" w:pos="851"/>
        </w:tabs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</w:r>
      <w:r w:rsidRPr="00EE4CE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Первый абзац подпункта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6.7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изложить в следующей редакции:</w:t>
      </w:r>
    </w:p>
    <w:p w:rsidR="00580B8F" w:rsidRPr="00414ADC" w:rsidRDefault="00580B8F" w:rsidP="00580B8F">
      <w:pPr>
        <w:keepLines/>
        <w:suppressAutoHyphens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«6.7.</w:t>
      </w:r>
      <w:r w:rsidRPr="00CE6846">
        <w:rPr>
          <w:lang w:val="ru-RU"/>
        </w:rPr>
        <w:t xml:space="preserve"> </w:t>
      </w:r>
      <w:r w:rsidRPr="00CE684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В случае схода с рельсов вагона железнодорожная компания-пользовательница незамедлительно информирует владельца вагона (тележки), а также принимающую железнодорожную компанию о сходе вагона с указанием его номера 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обстоятельств </w:t>
      </w:r>
      <w:r w:rsidRPr="00CE684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повреждения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.».</w:t>
      </w:r>
    </w:p>
    <w:p w:rsidR="00580B8F" w:rsidRDefault="00580B8F" w:rsidP="00580B8F">
      <w:pPr>
        <w:spacing w:after="0" w:line="240" w:lineRule="auto"/>
        <w:ind w:left="709" w:right="-284" w:firstLine="425"/>
        <w:jc w:val="both"/>
        <w:rPr>
          <w:rFonts w:ascii="Times New Roman" w:eastAsia="SimSun" w:hAnsi="Times New Roman" w:cs="Times New Roman"/>
          <w:sz w:val="28"/>
          <w:szCs w:val="28"/>
          <w:lang w:val="ru-RU" w:eastAsia="ru-RU"/>
        </w:rPr>
      </w:pPr>
    </w:p>
    <w:p w:rsidR="00580B8F" w:rsidRPr="00BD61D9" w:rsidRDefault="00580B8F" w:rsidP="00580B8F">
      <w:pPr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6.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  <w:t>П</w:t>
      </w: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ервый абзац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под</w:t>
      </w:r>
      <w:r w:rsidRPr="00BD61D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пункта 17.8.3 дополнить новым предложением в следующей редакции:</w:t>
      </w:r>
    </w:p>
    <w:p w:rsidR="00580B8F" w:rsidRDefault="00580B8F" w:rsidP="00580B8F">
      <w:pPr>
        <w:keepLines/>
        <w:suppressAutoHyphens/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«</w:t>
      </w:r>
      <w:r w:rsidRPr="00CA74C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Отказ в приеме вагонов считается необоснованным, если его причины не указаны в пункте 4.6.</w:t>
      </w:r>
      <w:r w:rsidRPr="00414AD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».</w:t>
      </w:r>
    </w:p>
    <w:p w:rsidR="00580B8F" w:rsidRDefault="00580B8F" w:rsidP="00580B8F">
      <w:pPr>
        <w:spacing w:after="0" w:line="240" w:lineRule="auto"/>
        <w:ind w:right="-284"/>
        <w:jc w:val="both"/>
        <w:rPr>
          <w:rFonts w:ascii="Times New Roman" w:eastAsia="SimSun" w:hAnsi="Times New Roman" w:cs="Times New Roman"/>
          <w:sz w:val="28"/>
          <w:szCs w:val="28"/>
          <w:lang w:val="ru-RU" w:eastAsia="ru-RU"/>
        </w:rPr>
      </w:pPr>
    </w:p>
    <w:p w:rsidR="00580B8F" w:rsidRDefault="00580B8F" w:rsidP="00580B8F">
      <w:pPr>
        <w:spacing w:after="0" w:line="240" w:lineRule="auto"/>
        <w:ind w:right="-284"/>
        <w:jc w:val="both"/>
        <w:rPr>
          <w:rFonts w:ascii="Times New Roman" w:eastAsia="SimSun" w:hAnsi="Times New Roman" w:cs="Times New Roman"/>
          <w:sz w:val="28"/>
          <w:szCs w:val="28"/>
          <w:lang w:val="ru-RU" w:eastAsia="ru-RU"/>
        </w:rPr>
      </w:pPr>
    </w:p>
    <w:p w:rsidR="00580B8F" w:rsidRPr="002A084D" w:rsidRDefault="00580B8F" w:rsidP="00580B8F">
      <w:pPr>
        <w:spacing w:after="0" w:line="240" w:lineRule="auto"/>
        <w:ind w:right="-284"/>
        <w:jc w:val="center"/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</w:pPr>
      <w:r w:rsidRPr="002A084D"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  <w:t>Приложение 12 к ПГВ</w:t>
      </w:r>
      <w:r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  <w:t>:</w:t>
      </w:r>
    </w:p>
    <w:p w:rsidR="00580B8F" w:rsidRPr="00BD61D9" w:rsidRDefault="00580B8F" w:rsidP="00580B8F">
      <w:pPr>
        <w:spacing w:after="0" w:line="240" w:lineRule="auto"/>
        <w:ind w:right="-284"/>
        <w:jc w:val="center"/>
        <w:rPr>
          <w:rFonts w:ascii="Times New Roman" w:eastAsia="SimSun" w:hAnsi="Times New Roman" w:cs="Times New Roman"/>
          <w:sz w:val="28"/>
          <w:szCs w:val="28"/>
          <w:lang w:val="ru-RU" w:eastAsia="ru-RU"/>
        </w:rPr>
      </w:pPr>
    </w:p>
    <w:p w:rsidR="00580B8F" w:rsidRPr="002A084D" w:rsidRDefault="00580B8F" w:rsidP="00580B8F">
      <w:pPr>
        <w:tabs>
          <w:tab w:val="left" w:pos="709"/>
        </w:tabs>
        <w:spacing w:after="0" w:line="240" w:lineRule="auto"/>
        <w:ind w:right="-284"/>
        <w:rPr>
          <w:rFonts w:ascii="Times New Roman" w:eastAsia="SimSu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  <w:t>7.</w:t>
      </w:r>
      <w:r w:rsidRPr="002A084D">
        <w:rPr>
          <w:rFonts w:ascii="Times New Roman" w:eastAsia="SimSu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ru-RU" w:eastAsia="ru-RU"/>
        </w:rPr>
        <w:tab/>
      </w:r>
      <w:r w:rsidRPr="002A084D">
        <w:rPr>
          <w:rFonts w:ascii="Times New Roman" w:eastAsia="SimSun" w:hAnsi="Times New Roman" w:cs="Times New Roman"/>
          <w:sz w:val="28"/>
          <w:szCs w:val="28"/>
          <w:lang w:val="ru-RU" w:eastAsia="ru-RU"/>
        </w:rPr>
        <w:t>Изложить в следующей редакции:</w:t>
      </w:r>
    </w:p>
    <w:p w:rsidR="00580B8F" w:rsidRPr="00DE1BD2" w:rsidRDefault="00580B8F" w:rsidP="00580B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1BD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DE1BD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Приложение 12 к ПГВ </w:t>
      </w:r>
    </w:p>
    <w:p w:rsidR="00580B8F" w:rsidRPr="00DE1BD2" w:rsidRDefault="00580B8F" w:rsidP="00580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E1BD2">
        <w:rPr>
          <w:rFonts w:ascii="Times New Roman" w:hAnsi="Times New Roman" w:cs="Times New Roman"/>
          <w:sz w:val="28"/>
          <w:szCs w:val="28"/>
          <w:lang w:val="ru-RU"/>
        </w:rPr>
        <w:t>(к пунктам 17.1, 17.4, 17.6.2, 17.6.3 и 19.3)</w:t>
      </w:r>
    </w:p>
    <w:p w:rsidR="00580B8F" w:rsidRDefault="00580B8F" w:rsidP="00580B8F">
      <w:pPr>
        <w:tabs>
          <w:tab w:val="center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80B8F" w:rsidRPr="00172D51" w:rsidRDefault="00580B8F" w:rsidP="00580B8F">
      <w:pPr>
        <w:tabs>
          <w:tab w:val="center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72D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ПЕРЕЧЕНЬ СТАВОК ПЛАТЫ </w:t>
      </w:r>
    </w:p>
    <w:p w:rsidR="00580B8F" w:rsidRPr="00172D51" w:rsidRDefault="00580B8F" w:rsidP="00580B8F">
      <w:pPr>
        <w:tabs>
          <w:tab w:val="center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1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906"/>
        <w:gridCol w:w="1898"/>
        <w:gridCol w:w="1701"/>
      </w:tblGrid>
      <w:tr w:rsidR="00580B8F" w:rsidRPr="00172D51" w:rsidTr="0088788B">
        <w:trPr>
          <w:cantSplit/>
        </w:trPr>
        <w:tc>
          <w:tcPr>
            <w:tcW w:w="63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06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Название ставки</w:t>
            </w:r>
          </w:p>
        </w:tc>
        <w:tc>
          <w:tcPr>
            <w:tcW w:w="1898" w:type="dxa"/>
            <w:tcBorders>
              <w:top w:val="double" w:sz="6" w:space="0" w:color="auto"/>
              <w:bottom w:val="single" w:sz="6" w:space="0" w:color="auto"/>
            </w:tcBorders>
          </w:tcPr>
          <w:p w:rsidR="00580B8F" w:rsidRPr="00172D51" w:rsidRDefault="00580B8F" w:rsidP="008878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Размер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ставки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(шв. фр.)</w:t>
            </w:r>
          </w:p>
        </w:tc>
        <w:tc>
          <w:tcPr>
            <w:tcW w:w="1701" w:type="dxa"/>
            <w:tcBorders>
              <w:top w:val="double" w:sz="6" w:space="0" w:color="auto"/>
              <w:bottom w:val="single" w:sz="6" w:space="0" w:color="auto"/>
            </w:tcBorders>
          </w:tcPr>
          <w:p w:rsidR="00580B8F" w:rsidRPr="00172D51" w:rsidRDefault="00580B8F" w:rsidP="0088788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 Правил</w:t>
            </w:r>
          </w:p>
          <w:p w:rsidR="00580B8F" w:rsidRPr="00172D51" w:rsidRDefault="00580B8F" w:rsidP="008878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80B8F" w:rsidRPr="00172D51" w:rsidTr="0088788B">
        <w:trPr>
          <w:cantSplit/>
        </w:trPr>
        <w:tc>
          <w:tcPr>
            <w:tcW w:w="637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06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98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580B8F" w:rsidRPr="00580B8F" w:rsidTr="0088788B">
        <w:trPr>
          <w:cantSplit/>
        </w:trPr>
        <w:tc>
          <w:tcPr>
            <w:tcW w:w="637" w:type="dxa"/>
            <w:tcBorders>
              <w:top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906" w:type="dxa"/>
            <w:tcBorders>
              <w:top w:val="double" w:sz="6" w:space="0" w:color="auto"/>
              <w:bottom w:val="single" w:sz="6" w:space="0" w:color="auto"/>
              <w:right w:val="nil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 следовании вагона без перестановки тележек:</w:t>
            </w:r>
          </w:p>
        </w:tc>
        <w:tc>
          <w:tcPr>
            <w:tcW w:w="1898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6" w:space="0" w:color="auto"/>
            </w:tcBorders>
          </w:tcPr>
          <w:p w:rsidR="00580B8F" w:rsidRPr="00172D51" w:rsidRDefault="00580B8F" w:rsidP="008878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80B8F" w:rsidRPr="00172D51" w:rsidTr="0088788B">
        <w:trPr>
          <w:cantSplit/>
        </w:trPr>
        <w:tc>
          <w:tcPr>
            <w:tcW w:w="637" w:type="dxa"/>
            <w:tcBorders>
              <w:bottom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1.1.</w:t>
            </w:r>
          </w:p>
        </w:tc>
        <w:tc>
          <w:tcPr>
            <w:tcW w:w="4906" w:type="dxa"/>
            <w:tcBorders>
              <w:top w:val="single" w:sz="6" w:space="0" w:color="auto"/>
              <w:bottom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Ставка за пользование 2-осным вагоном за каждый час</w:t>
            </w:r>
          </w:p>
          <w:p w:rsidR="00580B8F" w:rsidRPr="00172D51" w:rsidRDefault="00580B8F" w:rsidP="0088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98" w:type="dxa"/>
            <w:tcBorders>
              <w:top w:val="single" w:sz="6" w:space="0" w:color="auto"/>
              <w:bottom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0,78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17.6.3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</w:tr>
      <w:tr w:rsidR="00580B8F" w:rsidRPr="00172D51" w:rsidTr="0088788B">
        <w:trPr>
          <w:cantSplit/>
        </w:trPr>
        <w:tc>
          <w:tcPr>
            <w:tcW w:w="637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4906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Ставка за пользование 4-осным вагоном за каждый час</w:t>
            </w:r>
          </w:p>
          <w:p w:rsidR="00580B8F" w:rsidRPr="00172D51" w:rsidRDefault="00580B8F" w:rsidP="0088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98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1,23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17.6.3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</w:tr>
      <w:tr w:rsidR="00580B8F" w:rsidRPr="00580B8F" w:rsidTr="0088788B">
        <w:trPr>
          <w:cantSplit/>
        </w:trPr>
        <w:tc>
          <w:tcPr>
            <w:tcW w:w="637" w:type="dxa"/>
            <w:tcBorders>
              <w:top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906" w:type="dxa"/>
            <w:tcBorders>
              <w:top w:val="double" w:sz="6" w:space="0" w:color="auto"/>
              <w:bottom w:val="single" w:sz="6" w:space="0" w:color="auto"/>
              <w:right w:val="nil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 следовании вагона с перестановкой тележек:</w:t>
            </w:r>
          </w:p>
        </w:tc>
        <w:tc>
          <w:tcPr>
            <w:tcW w:w="1898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6" w:space="0" w:color="auto"/>
            </w:tcBorders>
          </w:tcPr>
          <w:p w:rsidR="00580B8F" w:rsidRPr="00172D51" w:rsidRDefault="00580B8F" w:rsidP="008878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80B8F" w:rsidRPr="00172D51" w:rsidTr="0088788B">
        <w:trPr>
          <w:cantSplit/>
        </w:trPr>
        <w:tc>
          <w:tcPr>
            <w:tcW w:w="637" w:type="dxa"/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2.1.</w:t>
            </w:r>
          </w:p>
        </w:tc>
        <w:tc>
          <w:tcPr>
            <w:tcW w:w="4906" w:type="dxa"/>
            <w:tcBorders>
              <w:top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Ставка за пользование двумя тележками 4-осного вагона за каждый час</w:t>
            </w:r>
          </w:p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98" w:type="dxa"/>
            <w:tcBorders>
              <w:top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0,37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17.6.3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</w:tr>
      <w:tr w:rsidR="00580B8F" w:rsidRPr="00172D51" w:rsidTr="0088788B">
        <w:trPr>
          <w:cantSplit/>
        </w:trPr>
        <w:tc>
          <w:tcPr>
            <w:tcW w:w="637" w:type="dxa"/>
            <w:tcBorders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2.2.</w:t>
            </w:r>
          </w:p>
        </w:tc>
        <w:tc>
          <w:tcPr>
            <w:tcW w:w="4906" w:type="dxa"/>
            <w:tcBorders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Ставка за пользование 4-осным вагоном без  тележек за каждый час</w:t>
            </w:r>
          </w:p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98" w:type="dxa"/>
            <w:tcBorders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0,86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17.6.3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19.3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</w:tr>
      <w:tr w:rsidR="00580B8F" w:rsidRPr="00172D51" w:rsidTr="0088788B">
        <w:trPr>
          <w:cantSplit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Ставка</w:t>
            </w:r>
            <w:r w:rsidRPr="00172D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некомпенсированный порожний </w:t>
            </w: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пробег</w:t>
            </w:r>
            <w:r w:rsidRPr="00172D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вагона, в том числе, направленного</w:t>
            </w: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оказания вагонной помощи, за вагоно-километр</w:t>
            </w:r>
          </w:p>
          <w:p w:rsidR="00580B8F" w:rsidRPr="00172D51" w:rsidRDefault="00580B8F" w:rsidP="008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0,07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17.4</w:t>
            </w:r>
          </w:p>
          <w:p w:rsidR="00580B8F" w:rsidRPr="00172D51" w:rsidRDefault="00580B8F" w:rsidP="008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A02E01" wp14:editId="7D11CB2E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234315</wp:posOffset>
                      </wp:positionV>
                      <wp:extent cx="228600" cy="281940"/>
                      <wp:effectExtent l="0" t="0" r="0" b="381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0B8F" w:rsidRPr="00172D51" w:rsidRDefault="00580B8F" w:rsidP="00580B8F">
                                  <w:pPr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A02E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86.95pt;margin-top:18.45pt;width:18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" fillcolor="white [3201]" stroked="f" strokeweight=".5pt">
                      <v:textbox>
                        <w:txbxContent>
                          <w:p w:rsidR="00580B8F" w:rsidRPr="00172D51" w:rsidRDefault="00580B8F" w:rsidP="00580B8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72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17.6.2</w:t>
            </w:r>
          </w:p>
        </w:tc>
      </w:tr>
    </w:tbl>
    <w:p w:rsidR="00580B8F" w:rsidRDefault="00580B8F" w:rsidP="00580B8F">
      <w:pPr>
        <w:spacing w:after="0" w:line="240" w:lineRule="auto"/>
        <w:ind w:right="-284" w:firstLine="851"/>
        <w:jc w:val="center"/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</w:pPr>
    </w:p>
    <w:p w:rsidR="00580B8F" w:rsidRPr="00BD61D9" w:rsidRDefault="00580B8F" w:rsidP="00580B8F">
      <w:pPr>
        <w:spacing w:after="0" w:line="240" w:lineRule="auto"/>
        <w:ind w:right="-284" w:firstLine="851"/>
        <w:jc w:val="center"/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  <w:t>Приложение 17</w:t>
      </w:r>
      <w:r w:rsidRPr="00BD61D9">
        <w:rPr>
          <w:rFonts w:ascii="Times New Roman" w:eastAsia="SimSun" w:hAnsi="Times New Roman" w:cs="Times New Roman"/>
          <w:b/>
          <w:sz w:val="28"/>
          <w:szCs w:val="28"/>
          <w:lang w:val="ru-RU" w:eastAsia="ru-RU"/>
        </w:rPr>
        <w:t xml:space="preserve"> к ПГВ:</w:t>
      </w: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8</w:t>
      </w:r>
      <w:r w:rsidRPr="0037777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</w:r>
      <w:r w:rsidRPr="0037777A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Подпункт 1.3.6 изложить в следующей редакции: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709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«1.3.6. </w:t>
      </w: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Величина коэффициента индексации ставок платы определяется ежегодно Рабочей группой на основании официальных данных сайта Национального банка Швейцарии www.snb.ch об изменении уровня инфляции (потребительских цен) в Швейцарии к году, предшествующему году предоставления исходных данных.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709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Показатель инфляции по установленным периодам отражается в отчете банка «Экономические данные, Потребительские цены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–</w:t>
      </w: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базовые темпы инфляции SNB и SFSO (Consumer prices – core inflation rates of SNB and the SFSO), графа 5.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709" w:righ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Коэффициент индексации ставок платы устанавливается единым для всех родов вагонов и определяется по формуле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: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kинд = 1 + iинф  * 10-2,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где: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709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iинф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–</w:t>
      </w: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расчетный уровень инфляции в Швейцарии за отчётный год и определяется как среднеарифметическая величина инфляции за год, %.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eastAsia="Times New Roman"/>
          <w:noProof/>
          <w:sz w:val="24"/>
          <w:szCs w:val="24"/>
          <w:lang w:val="ru-RU" w:eastAsia="ru-RU"/>
        </w:rPr>
        <w:drawing>
          <wp:inline distT="0" distB="0" distL="0" distR="0" wp14:anchorId="2EAC965A" wp14:editId="2E10D13D">
            <wp:extent cx="1135380" cy="502920"/>
            <wp:effectExtent l="0" t="0" r="7620" b="0"/>
            <wp:docPr id="2" name="Рисунок 2" descr="C:\Users\a\Desktop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esktop\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где: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709" w:righ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310ADC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ar-SA"/>
        </w:rPr>
        <w:t>jинф</w:t>
      </w: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–</w:t>
      </w: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индекс инфляции в Швейцарии для j-го месяца расчетного периода, %;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–</w:t>
      </w: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количество месяцев. </w:t>
      </w: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Pr="0034490F" w:rsidRDefault="00580B8F" w:rsidP="00580B8F">
      <w:pPr>
        <w:tabs>
          <w:tab w:val="left" w:pos="709"/>
        </w:tabs>
        <w:spacing w:after="0" w:line="240" w:lineRule="auto"/>
        <w:ind w:left="709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При понижении указанного коэффициента до размера менее чем 1,00 – индексация не производится. 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709" w:right="4"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34490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При этом значение дефляции применяется с отрицательным знаком.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».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426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9</w:t>
      </w:r>
      <w:r w:rsidRPr="0037777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</w:r>
      <w:r w:rsidRPr="0037777A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Исключить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под</w:t>
      </w:r>
      <w:r w:rsidRPr="0037777A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пункт 3.7.</w:t>
      </w: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lastRenderedPageBreak/>
        <w:t>10</w:t>
      </w:r>
      <w:r w:rsidRPr="0037777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ab/>
        <w:t>Приложение</w:t>
      </w:r>
      <w:r w:rsidRPr="0037777A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1</w:t>
      </w:r>
      <w:r w:rsidRPr="0037777A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к Методике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изложить</w:t>
      </w:r>
      <w:r w:rsidRPr="0037777A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в следующей редакции: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</w:p>
    <w:p w:rsidR="00580B8F" w:rsidRDefault="00580B8F" w:rsidP="00580B8F">
      <w:pPr>
        <w:tabs>
          <w:tab w:val="left" w:pos="709"/>
        </w:tabs>
        <w:spacing w:after="0" w:line="240" w:lineRule="auto"/>
        <w:ind w:left="993" w:right="-284" w:firstLine="14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580B8F" w:rsidRDefault="00580B8F" w:rsidP="00580B8F">
      <w:pPr>
        <w:spacing w:after="0" w:line="240" w:lineRule="auto"/>
        <w:jc w:val="right"/>
        <w:rPr>
          <w:rFonts w:ascii="Times New Roman" w:eastAsia="SimSun" w:hAnsi="Times New Roman" w:cs="Times New Roman"/>
          <w:i/>
          <w:sz w:val="26"/>
          <w:szCs w:val="26"/>
          <w:lang w:val="ru-RU" w:eastAsia="ru-RU"/>
        </w:rPr>
      </w:pPr>
      <w:r>
        <w:rPr>
          <w:rFonts w:ascii="Times New Roman" w:eastAsia="SimSun" w:hAnsi="Times New Roman" w:cs="Times New Roman"/>
          <w:i/>
          <w:sz w:val="26"/>
          <w:szCs w:val="26"/>
          <w:lang w:val="ru-RU" w:eastAsia="ru-RU"/>
        </w:rPr>
        <w:t>«Приложение 1</w:t>
      </w:r>
      <w:r w:rsidRPr="006A01B9">
        <w:rPr>
          <w:rFonts w:ascii="Times New Roman" w:eastAsia="SimSun" w:hAnsi="Times New Roman" w:cs="Times New Roman"/>
          <w:i/>
          <w:sz w:val="26"/>
          <w:szCs w:val="26"/>
          <w:lang w:val="ru-RU" w:eastAsia="ru-RU"/>
        </w:rPr>
        <w:t xml:space="preserve"> к Методике </w:t>
      </w:r>
    </w:p>
    <w:p w:rsidR="00580B8F" w:rsidRPr="001372D8" w:rsidRDefault="00580B8F" w:rsidP="00580B8F">
      <w:pPr>
        <w:pStyle w:val="1"/>
        <w:spacing w:before="0" w:after="120"/>
        <w:jc w:val="both"/>
        <w:rPr>
          <w:rFonts w:ascii="Times New Roman" w:hAnsi="Times New Roman"/>
          <w:b w:val="0"/>
          <w:i/>
          <w:color w:val="FF0000"/>
          <w:sz w:val="24"/>
          <w:szCs w:val="24"/>
        </w:rPr>
      </w:pPr>
    </w:p>
    <w:p w:rsidR="00580B8F" w:rsidRPr="001372D8" w:rsidRDefault="00580B8F" w:rsidP="00580B8F">
      <w:pPr>
        <w:pStyle w:val="1"/>
        <w:spacing w:before="0" w:after="120"/>
        <w:jc w:val="center"/>
        <w:rPr>
          <w:rFonts w:ascii="Times New Roman" w:hAnsi="Times New Roman"/>
          <w:color w:val="auto"/>
        </w:rPr>
      </w:pPr>
      <w:bookmarkStart w:id="0" w:name="_GoBack"/>
      <w:r w:rsidRPr="001372D8">
        <w:rPr>
          <w:rFonts w:ascii="Times New Roman" w:hAnsi="Times New Roman"/>
          <w:color w:val="auto"/>
        </w:rPr>
        <w:t>Унифицированная нумерация вагонов по подгруппам и типам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51"/>
        <w:gridCol w:w="1984"/>
        <w:gridCol w:w="851"/>
        <w:gridCol w:w="2268"/>
        <w:gridCol w:w="1701"/>
      </w:tblGrid>
      <w:tr w:rsidR="00580B8F" w:rsidRPr="001372D8" w:rsidTr="0088788B">
        <w:tc>
          <w:tcPr>
            <w:tcW w:w="1843" w:type="dxa"/>
            <w:vAlign w:val="center"/>
          </w:tcPr>
          <w:p w:rsidR="00580B8F" w:rsidRPr="00A16975" w:rsidRDefault="00580B8F" w:rsidP="0088788B">
            <w:pPr>
              <w:spacing w:after="0" w:line="240" w:lineRule="auto"/>
              <w:jc w:val="center"/>
              <w:rPr>
                <w:bCs/>
                <w:sz w:val="18"/>
                <w:lang w:val="ru-RU"/>
              </w:rPr>
            </w:pPr>
            <w:r w:rsidRPr="00A16975">
              <w:rPr>
                <w:bCs/>
                <w:sz w:val="18"/>
                <w:lang w:val="ru-RU"/>
              </w:rPr>
              <w:t xml:space="preserve">Нумерация вагонов колеи </w:t>
            </w:r>
            <w:r w:rsidRPr="00A16975">
              <w:rPr>
                <w:bCs/>
                <w:sz w:val="18"/>
                <w:lang w:val="ru-RU"/>
              </w:rPr>
              <w:br/>
              <w:t>1520 мм – цифры с 1 по 6 в 8-значном номере вагона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bCs/>
                <w:sz w:val="18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Кол-во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осей</w:t>
            </w:r>
          </w:p>
        </w:tc>
        <w:tc>
          <w:tcPr>
            <w:tcW w:w="1984" w:type="dxa"/>
            <w:vAlign w:val="center"/>
          </w:tcPr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Подгруппа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вагонов</w:t>
            </w:r>
          </w:p>
        </w:tc>
        <w:tc>
          <w:tcPr>
            <w:tcW w:w="851" w:type="dxa"/>
            <w:vAlign w:val="center"/>
          </w:tcPr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Кол-во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осей</w:t>
            </w:r>
          </w:p>
        </w:tc>
        <w:tc>
          <w:tcPr>
            <w:tcW w:w="2268" w:type="dxa"/>
            <w:vAlign w:val="center"/>
          </w:tcPr>
          <w:p w:rsidR="00580B8F" w:rsidRPr="00A16975" w:rsidRDefault="00580B8F" w:rsidP="0088788B">
            <w:pPr>
              <w:spacing w:after="0" w:line="240" w:lineRule="auto"/>
              <w:jc w:val="center"/>
              <w:rPr>
                <w:bCs/>
                <w:sz w:val="18"/>
                <w:lang w:val="ru-RU"/>
              </w:rPr>
            </w:pPr>
            <w:r w:rsidRPr="00A16975">
              <w:rPr>
                <w:bCs/>
                <w:sz w:val="18"/>
                <w:lang w:val="ru-RU"/>
              </w:rPr>
              <w:t xml:space="preserve">Нумерация вагонов колеи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A16975">
                <w:rPr>
                  <w:bCs/>
                  <w:sz w:val="18"/>
                  <w:lang w:val="ru-RU"/>
                </w:rPr>
                <w:t>1435 мм</w:t>
              </w:r>
            </w:smartTag>
            <w:r w:rsidRPr="00A16975">
              <w:rPr>
                <w:bCs/>
                <w:sz w:val="18"/>
                <w:lang w:val="ru-RU"/>
              </w:rPr>
              <w:t xml:space="preserve"> – цифры 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bCs/>
                <w:sz w:val="18"/>
                <w:lang w:val="ru-RU"/>
              </w:rPr>
            </w:pPr>
            <w:r w:rsidRPr="00A16975">
              <w:rPr>
                <w:bCs/>
                <w:sz w:val="18"/>
                <w:lang w:val="ru-RU"/>
              </w:rPr>
              <w:t xml:space="preserve">с 5 по 7 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в 12-значном номере вагона</w:t>
            </w:r>
          </w:p>
        </w:tc>
        <w:tc>
          <w:tcPr>
            <w:tcW w:w="1701" w:type="dxa"/>
            <w:vAlign w:val="center"/>
          </w:tcPr>
          <w:p w:rsidR="00580B8F" w:rsidRPr="001372D8" w:rsidRDefault="00580B8F" w:rsidP="0088788B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1372D8">
              <w:rPr>
                <w:bCs/>
                <w:sz w:val="18"/>
              </w:rPr>
              <w:t>Типы вагонов</w:t>
            </w:r>
          </w:p>
          <w:p w:rsidR="00580B8F" w:rsidRPr="001372D8" w:rsidRDefault="00580B8F" w:rsidP="0088788B">
            <w:pPr>
              <w:pStyle w:val="2"/>
              <w:jc w:val="center"/>
              <w:rPr>
                <w:rFonts w:eastAsia="Times New Roman"/>
                <w:b w:val="0"/>
                <w:bCs/>
                <w:sz w:val="18"/>
                <w:szCs w:val="24"/>
              </w:rPr>
            </w:pPr>
            <w:r w:rsidRPr="001372D8">
              <w:rPr>
                <w:rFonts w:eastAsia="Times New Roman"/>
                <w:b w:val="0"/>
                <w:bCs/>
                <w:sz w:val="18"/>
                <w:szCs w:val="24"/>
              </w:rPr>
              <w:t xml:space="preserve">колеи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1372D8">
                <w:rPr>
                  <w:rFonts w:eastAsia="Times New Roman"/>
                  <w:b w:val="0"/>
                  <w:bCs/>
                  <w:sz w:val="18"/>
                  <w:szCs w:val="24"/>
                </w:rPr>
                <w:t>1435 мм</w:t>
              </w:r>
            </w:smartTag>
          </w:p>
        </w:tc>
      </w:tr>
    </w:tbl>
    <w:p w:rsidR="00580B8F" w:rsidRPr="003B4B20" w:rsidRDefault="00580B8F" w:rsidP="00580B8F">
      <w:pPr>
        <w:spacing w:after="0" w:line="240" w:lineRule="auto"/>
        <w:rPr>
          <w:sz w:val="2"/>
          <w:szCs w:val="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51"/>
        <w:gridCol w:w="1984"/>
        <w:gridCol w:w="851"/>
        <w:gridCol w:w="2268"/>
        <w:gridCol w:w="1701"/>
      </w:tblGrid>
      <w:tr w:rsidR="00580B8F" w:rsidRPr="001372D8" w:rsidTr="0088788B">
        <w:trPr>
          <w:tblHeader/>
        </w:trPr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1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2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3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5</w:t>
            </w: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6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2</w:t>
            </w:r>
          </w:p>
        </w:tc>
        <w:tc>
          <w:tcPr>
            <w:tcW w:w="1984" w:type="dxa"/>
            <w:vMerge w:val="restart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t>Крытые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144</w:t>
            </w:r>
          </w:p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150 - 151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153 - 154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155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157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158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175</w:t>
            </w:r>
          </w:p>
        </w:tc>
        <w:tc>
          <w:tcPr>
            <w:tcW w:w="1701" w:type="dxa"/>
            <w:vMerge w:val="restart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Крытые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 xml:space="preserve">стандартной конструкции </w:t>
            </w:r>
          </w:p>
          <w:p w:rsidR="00580B8F" w:rsidRPr="001372D8" w:rsidRDefault="00580B8F" w:rsidP="0088788B">
            <w:pPr>
              <w:spacing w:before="40"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(G)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200000 -294999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181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190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195 - 199</w:t>
            </w:r>
          </w:p>
        </w:tc>
        <w:tc>
          <w:tcPr>
            <w:tcW w:w="1701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84" w:type="dxa"/>
            <w:vMerge w:val="restart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Cs/>
              </w:rPr>
              <w:t>Платформы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320 - 322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330 - 338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 xml:space="preserve">340 </w:t>
            </w:r>
            <w:r>
              <w:rPr>
                <w:rFonts w:ascii="Arial" w:hAnsi="Arial" w:cs="Arial"/>
                <w:sz w:val="16"/>
              </w:rPr>
              <w:t>–</w:t>
            </w:r>
            <w:r w:rsidRPr="001372D8">
              <w:rPr>
                <w:rFonts w:ascii="Arial" w:hAnsi="Arial" w:cs="Arial"/>
                <w:sz w:val="16"/>
              </w:rPr>
              <w:t xml:space="preserve"> 345</w:t>
            </w: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Платформы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стандартной конструкции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(K)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400000 - 409999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420000 – 469999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351</w:t>
            </w:r>
          </w:p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352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353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355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363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390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391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392 - 393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393 – 394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395</w:t>
            </w: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396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  <w:lang w:val="ru-RU"/>
              </w:rPr>
            </w:pPr>
            <w:r w:rsidRPr="007B0C7C">
              <w:rPr>
                <w:rFonts w:ascii="Arial" w:hAnsi="Arial" w:cs="Arial"/>
                <w:sz w:val="16"/>
                <w:lang w:val="ru-RU"/>
              </w:rPr>
              <w:t>442</w:t>
            </w:r>
          </w:p>
          <w:p w:rsidR="00580B8F" w:rsidRDefault="00580B8F" w:rsidP="0088788B">
            <w:pPr>
              <w:jc w:val="center"/>
              <w:rPr>
                <w:rFonts w:ascii="Arial" w:hAnsi="Arial" w:cs="Arial"/>
                <w:color w:val="FF0000"/>
                <w:sz w:val="16"/>
                <w:lang w:val="ru-RU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color w:val="FF0000"/>
                <w:sz w:val="16"/>
                <w:lang w:val="ru-RU"/>
              </w:rPr>
            </w:pPr>
          </w:p>
          <w:p w:rsidR="00580B8F" w:rsidRPr="00F3366A" w:rsidRDefault="00580B8F" w:rsidP="0088788B">
            <w:pPr>
              <w:jc w:val="center"/>
              <w:rPr>
                <w:rFonts w:ascii="Arial" w:hAnsi="Arial" w:cs="Arial"/>
                <w:color w:val="FF0000"/>
                <w:sz w:val="16"/>
                <w:lang w:val="ru-RU"/>
              </w:rPr>
            </w:pP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Платформы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стандартной конструкции</w:t>
            </w:r>
          </w:p>
          <w:p w:rsidR="00580B8F" w:rsidRPr="001372D8" w:rsidRDefault="00580B8F" w:rsidP="0088788B">
            <w:pPr>
              <w:spacing w:before="40"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(R)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84" w:type="dxa"/>
            <w:vMerge w:val="restart"/>
          </w:tcPr>
          <w:p w:rsidR="00580B8F" w:rsidRPr="001372D8" w:rsidRDefault="00580B8F" w:rsidP="0088788B">
            <w:pPr>
              <w:spacing w:before="40"/>
              <w:jc w:val="center"/>
            </w:pPr>
            <w:r w:rsidRPr="001372D8">
              <w:t>Полувагоны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552 - 555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lastRenderedPageBreak/>
              <w:t>558 - 559</w:t>
            </w:r>
          </w:p>
        </w:tc>
        <w:tc>
          <w:tcPr>
            <w:tcW w:w="1701" w:type="dxa"/>
            <w:vMerge w:val="restart"/>
          </w:tcPr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lastRenderedPageBreak/>
              <w:t>Полувагоны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lastRenderedPageBreak/>
              <w:t>стандартной конструкции с плоским дном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(E)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lastRenderedPageBreak/>
              <w:t>600000 – 692009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  <w:p w:rsidR="00580B8F" w:rsidRPr="00E1615D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  <w:lang w:val="ru-RU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530 – 549</w:t>
            </w:r>
          </w:p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592 - 593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594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595 - 597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599</w:t>
            </w:r>
          </w:p>
        </w:tc>
        <w:tc>
          <w:tcPr>
            <w:tcW w:w="1701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700000 – 778999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t>Цистерны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785</w:t>
            </w:r>
          </w:p>
          <w:p w:rsidR="00580B8F" w:rsidRPr="007B0C7C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  <w:lang w:val="ru-RU"/>
              </w:rPr>
            </w:pPr>
            <w:r w:rsidRPr="007B0C7C">
              <w:rPr>
                <w:rFonts w:ascii="Arial" w:hAnsi="Arial" w:cs="Arial"/>
                <w:sz w:val="16"/>
              </w:rPr>
              <w:t>786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787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788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795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  <w:lang w:val="ru-RU"/>
              </w:rPr>
            </w:pPr>
            <w:r w:rsidRPr="007B0C7C">
              <w:rPr>
                <w:rFonts w:ascii="Arial" w:hAnsi="Arial" w:cs="Arial"/>
                <w:sz w:val="16"/>
              </w:rPr>
              <w:t>798</w:t>
            </w: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Вагон-цистерна</w:t>
            </w:r>
          </w:p>
          <w:p w:rsidR="00580B8F" w:rsidRPr="001372D8" w:rsidRDefault="00580B8F" w:rsidP="0088788B">
            <w:pPr>
              <w:spacing w:before="40"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(Z)</w:t>
            </w:r>
          </w:p>
        </w:tc>
      </w:tr>
      <w:tr w:rsidR="00580B8F" w:rsidRPr="00580B8F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371000 - 375999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800000 – 817999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830000 – 879999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pStyle w:val="1"/>
              <w:jc w:val="center"/>
              <w:rPr>
                <w:rFonts w:ascii="Times New Roman" w:eastAsia="Times New Roman" w:hAnsi="Times New Roman"/>
                <w:b w:val="0"/>
                <w:color w:val="auto"/>
                <w:sz w:val="22"/>
                <w:szCs w:val="28"/>
              </w:rPr>
            </w:pPr>
            <w:r w:rsidRPr="001372D8">
              <w:rPr>
                <w:rFonts w:ascii="Times New Roman" w:eastAsia="Times New Roman" w:hAnsi="Times New Roman"/>
                <w:b w:val="0"/>
                <w:color w:val="auto"/>
                <w:sz w:val="22"/>
                <w:szCs w:val="28"/>
              </w:rPr>
              <w:t>Изотермические</w:t>
            </w:r>
          </w:p>
        </w:tc>
        <w:tc>
          <w:tcPr>
            <w:tcW w:w="851" w:type="dxa"/>
          </w:tcPr>
          <w:p w:rsidR="00580B8F" w:rsidRPr="00F3366A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  <w:lang w:val="ru-RU"/>
              </w:rPr>
            </w:pPr>
            <w:r>
              <w:rPr>
                <w:rFonts w:ascii="Arial" w:hAnsi="Arial" w:cs="Arial"/>
                <w:b/>
                <w:bCs/>
                <w:sz w:val="16"/>
                <w:lang w:val="ru-RU"/>
              </w:rPr>
              <w:t>2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 xml:space="preserve">806, 811, </w:t>
            </w:r>
          </w:p>
          <w:p w:rsidR="00580B8F" w:rsidRPr="007B0C7C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824, 825, 827</w:t>
            </w:r>
          </w:p>
        </w:tc>
        <w:tc>
          <w:tcPr>
            <w:tcW w:w="1701" w:type="dxa"/>
          </w:tcPr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t>Вагоны с температурным режимом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t xml:space="preserve"> (</w:t>
            </w:r>
            <w:r w:rsidRPr="001372D8">
              <w:t>I</w:t>
            </w:r>
            <w:r w:rsidRPr="00A16975">
              <w:rPr>
                <w:lang w:val="ru-RU"/>
              </w:rPr>
              <w:t>)</w:t>
            </w:r>
          </w:p>
        </w:tc>
      </w:tr>
      <w:tr w:rsidR="00580B8F" w:rsidRPr="001372D8" w:rsidTr="0088788B">
        <w:tc>
          <w:tcPr>
            <w:tcW w:w="4678" w:type="dxa"/>
            <w:gridSpan w:val="3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</w:rPr>
              <w:t>Прочие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3B4B20" w:rsidTr="0088788B">
        <w:tc>
          <w:tcPr>
            <w:tcW w:w="1843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  <w:r w:rsidRPr="001372D8">
              <w:rPr>
                <w:b/>
                <w:bCs/>
                <w:sz w:val="16"/>
              </w:rPr>
              <w:t>2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014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073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075</w:t>
            </w:r>
          </w:p>
        </w:tc>
        <w:tc>
          <w:tcPr>
            <w:tcW w:w="1701" w:type="dxa"/>
            <w:vMerge w:val="restart"/>
          </w:tcPr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t>Вагон с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A16975">
              <w:rPr>
                <w:lang w:val="ru-RU"/>
              </w:rPr>
              <w:t>ткрывающей</w:t>
            </w:r>
            <w:r>
              <w:rPr>
                <w:lang w:val="ru-RU"/>
              </w:rPr>
              <w:t>-</w:t>
            </w:r>
            <w:r w:rsidRPr="00A16975">
              <w:rPr>
                <w:lang w:val="ru-RU"/>
              </w:rPr>
              <w:t>ся (раздвижной)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t>крышей</w:t>
            </w:r>
          </w:p>
          <w:p w:rsidR="00580B8F" w:rsidRPr="00A16975" w:rsidRDefault="00580B8F" w:rsidP="0088788B">
            <w:pPr>
              <w:spacing w:after="0" w:line="240" w:lineRule="auto"/>
              <w:jc w:val="center"/>
              <w:rPr>
                <w:lang w:val="ru-RU"/>
              </w:rPr>
            </w:pPr>
            <w:r w:rsidRPr="00A16975">
              <w:rPr>
                <w:lang w:val="ru-RU"/>
              </w:rPr>
              <w:t>(Т)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A16975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  <w:lang w:val="ru-RU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065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080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081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082</w:t>
            </w:r>
          </w:p>
        </w:tc>
        <w:tc>
          <w:tcPr>
            <w:tcW w:w="1701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216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224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225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227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237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245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246</w:t>
            </w:r>
          </w:p>
        </w:tc>
        <w:tc>
          <w:tcPr>
            <w:tcW w:w="1701" w:type="dxa"/>
            <w:vMerge w:val="restart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 xml:space="preserve">Крытые специальной конструкции </w:t>
            </w:r>
          </w:p>
          <w:p w:rsidR="00580B8F" w:rsidRPr="001372D8" w:rsidRDefault="00580B8F" w:rsidP="0088788B">
            <w:pPr>
              <w:spacing w:before="40"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(H)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900000-900999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901000-907999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908200-908999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909200-909249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917000-917029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918000-918999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lastRenderedPageBreak/>
              <w:t>925000-925999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927000-927999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930000-936999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950000-959999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960000-961999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962000-962888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963000-963559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963600-963699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964000-965999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967100-967149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971000-977999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260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270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271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274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275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276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lastRenderedPageBreak/>
              <w:t>277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284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287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289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291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292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293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297</w:t>
            </w:r>
          </w:p>
        </w:tc>
        <w:tc>
          <w:tcPr>
            <w:tcW w:w="1701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909200-909299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915600-915999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915600-915699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915000-915849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926000-926499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928000-928999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940000-949699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949700-949999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966000-966999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372D8">
              <w:rPr>
                <w:rFonts w:ascii="Arial" w:hAnsi="Arial" w:cs="Arial"/>
                <w:bCs/>
                <w:sz w:val="16"/>
              </w:rPr>
              <w:t>963700-963899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F3366A" w:rsidRDefault="00580B8F" w:rsidP="0088788B">
            <w:pPr>
              <w:jc w:val="center"/>
              <w:rPr>
                <w:rFonts w:ascii="Arial" w:hAnsi="Arial" w:cs="Arial"/>
                <w:sz w:val="16"/>
                <w:lang w:val="ru-RU"/>
              </w:rPr>
            </w:pPr>
            <w:r>
              <w:rPr>
                <w:rFonts w:ascii="Arial" w:hAnsi="Arial" w:cs="Arial"/>
                <w:sz w:val="16"/>
                <w:lang w:val="ru-RU"/>
              </w:rPr>
              <w:t>6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451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454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455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457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458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461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463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464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470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471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472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473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477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482, 485, 486</w:t>
            </w: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 xml:space="preserve">495, 496 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497</w:t>
            </w: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Платформы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 xml:space="preserve">специальной конструкции 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(S)</w:t>
            </w:r>
          </w:p>
          <w:p w:rsidR="00580B8F" w:rsidRPr="001372D8" w:rsidRDefault="00580B8F" w:rsidP="0088788B">
            <w:pPr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617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619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625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627</w:t>
            </w:r>
          </w:p>
        </w:tc>
        <w:tc>
          <w:tcPr>
            <w:tcW w:w="1701" w:type="dxa"/>
            <w:vMerge w:val="restart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Полувагоны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 xml:space="preserve">специальной конструкции </w:t>
            </w:r>
          </w:p>
          <w:p w:rsidR="00580B8F" w:rsidRPr="001372D8" w:rsidRDefault="00580B8F" w:rsidP="0088788B">
            <w:pPr>
              <w:spacing w:before="40"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(F)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300000-318999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320000-320999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321000-329999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330000-359999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908000-909199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910000-910999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lastRenderedPageBreak/>
              <w:t>912000-914999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915900-915909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916000-916999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920000-924999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962889-962999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963900-963999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969000-969999</w:t>
            </w: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rPr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654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655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663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665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666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667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lastRenderedPageBreak/>
              <w:t>668</w:t>
            </w:r>
          </w:p>
          <w:p w:rsidR="00580B8F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670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673, 674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681, 684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689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699</w:t>
            </w:r>
          </w:p>
        </w:tc>
        <w:tc>
          <w:tcPr>
            <w:tcW w:w="1701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</w:tcPr>
          <w:p w:rsidR="00580B8F" w:rsidRPr="001372D8" w:rsidRDefault="00580B8F" w:rsidP="0088788B">
            <w:pPr>
              <w:rPr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F3366A" w:rsidRDefault="00580B8F" w:rsidP="0088788B">
            <w:pPr>
              <w:jc w:val="center"/>
              <w:rPr>
                <w:rFonts w:ascii="Arial" w:hAnsi="Arial" w:cs="Arial"/>
                <w:sz w:val="16"/>
                <w:lang w:val="ru-RU"/>
              </w:rPr>
            </w:pPr>
            <w:r>
              <w:rPr>
                <w:rFonts w:ascii="Arial" w:hAnsi="Arial" w:cs="Arial"/>
                <w:sz w:val="16"/>
                <w:lang w:val="ru-RU"/>
              </w:rPr>
              <w:t>6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671</w:t>
            </w: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</w:tcPr>
          <w:p w:rsidR="00580B8F" w:rsidRPr="001372D8" w:rsidRDefault="00580B8F" w:rsidP="0088788B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441</w:t>
            </w:r>
          </w:p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443</w:t>
            </w:r>
          </w:p>
        </w:tc>
        <w:tc>
          <w:tcPr>
            <w:tcW w:w="1701" w:type="dxa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Вагоны-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платформы</w:t>
            </w:r>
          </w:p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(L)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910</w:t>
            </w:r>
          </w:p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913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914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941, 943, 946, 947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955, 956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961</w:t>
            </w:r>
          </w:p>
        </w:tc>
        <w:tc>
          <w:tcPr>
            <w:tcW w:w="1701" w:type="dxa"/>
            <w:vMerge w:val="restart"/>
          </w:tcPr>
          <w:p w:rsidR="00580B8F" w:rsidRPr="001372D8" w:rsidRDefault="00580B8F" w:rsidP="0088788B">
            <w:pPr>
              <w:spacing w:after="0" w:line="240" w:lineRule="auto"/>
              <w:jc w:val="center"/>
            </w:pPr>
            <w:r w:rsidRPr="001372D8">
              <w:t>Специальные</w:t>
            </w:r>
          </w:p>
          <w:p w:rsidR="00580B8F" w:rsidRPr="001372D8" w:rsidRDefault="00580B8F" w:rsidP="0088788B">
            <w:pPr>
              <w:spacing w:before="40" w:after="0" w:line="240" w:lineRule="auto"/>
              <w:jc w:val="center"/>
              <w:rPr>
                <w:b/>
                <w:bCs/>
                <w:sz w:val="16"/>
              </w:rPr>
            </w:pPr>
            <w:r w:rsidRPr="001372D8">
              <w:t>(U)</w:t>
            </w:r>
          </w:p>
        </w:tc>
      </w:tr>
      <w:tr w:rsidR="00580B8F" w:rsidRPr="001372D8" w:rsidTr="0088788B">
        <w:tc>
          <w:tcPr>
            <w:tcW w:w="1843" w:type="dxa"/>
          </w:tcPr>
          <w:p w:rsidR="00580B8F" w:rsidRPr="001372D8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929000-929999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937000-939999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967000-967099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968000-968900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970000-970999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978000-979999</w:t>
            </w: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 xml:space="preserve"> 4</w:t>
            </w:r>
          </w:p>
        </w:tc>
        <w:tc>
          <w:tcPr>
            <w:tcW w:w="1984" w:type="dxa"/>
          </w:tcPr>
          <w:p w:rsidR="00580B8F" w:rsidRPr="001372D8" w:rsidRDefault="00580B8F" w:rsidP="0088788B">
            <w:pPr>
              <w:rPr>
                <w:b/>
                <w:bCs/>
                <w:sz w:val="16"/>
              </w:rPr>
            </w:pPr>
          </w:p>
        </w:tc>
        <w:tc>
          <w:tcPr>
            <w:tcW w:w="851" w:type="dxa"/>
          </w:tcPr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</w:p>
          <w:p w:rsidR="00580B8F" w:rsidRPr="001372D8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</w:tcPr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930</w:t>
            </w:r>
          </w:p>
          <w:p w:rsidR="00580B8F" w:rsidRPr="007B0C7C" w:rsidRDefault="00580B8F" w:rsidP="0088788B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933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934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962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971, 972, 975</w:t>
            </w:r>
          </w:p>
          <w:p w:rsidR="00580B8F" w:rsidRPr="007B0C7C" w:rsidRDefault="00580B8F" w:rsidP="0088788B">
            <w:pPr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983, 987</w:t>
            </w:r>
          </w:p>
          <w:p w:rsidR="00580B8F" w:rsidRPr="007B0C7C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7B0C7C">
              <w:rPr>
                <w:rFonts w:ascii="Arial" w:hAnsi="Arial" w:cs="Arial"/>
                <w:sz w:val="16"/>
              </w:rPr>
              <w:t>991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994</w:t>
            </w:r>
          </w:p>
          <w:p w:rsidR="00580B8F" w:rsidRPr="001372D8" w:rsidRDefault="00580B8F" w:rsidP="0088788B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 w:rsidRPr="001372D8">
              <w:rPr>
                <w:rFonts w:ascii="Arial" w:hAnsi="Arial" w:cs="Arial"/>
                <w:sz w:val="16"/>
              </w:rPr>
              <w:t>932</w:t>
            </w:r>
          </w:p>
        </w:tc>
        <w:tc>
          <w:tcPr>
            <w:tcW w:w="1701" w:type="dxa"/>
            <w:vMerge/>
          </w:tcPr>
          <w:p w:rsidR="00580B8F" w:rsidRPr="001372D8" w:rsidRDefault="00580B8F" w:rsidP="0088788B">
            <w:pPr>
              <w:spacing w:before="40"/>
              <w:jc w:val="center"/>
              <w:rPr>
                <w:b/>
                <w:bCs/>
                <w:sz w:val="16"/>
              </w:rPr>
            </w:pPr>
          </w:p>
        </w:tc>
      </w:tr>
    </w:tbl>
    <w:bookmarkEnd w:id="0"/>
    <w:p w:rsidR="00580B8F" w:rsidRPr="007B0C7C" w:rsidRDefault="00580B8F" w:rsidP="00580B8F">
      <w:pPr>
        <w:rPr>
          <w:lang w:val="ru-RU"/>
        </w:rPr>
      </w:pPr>
      <w:r>
        <w:rPr>
          <w:lang w:val="ru-RU"/>
        </w:rPr>
        <w:t>»</w:t>
      </w:r>
    </w:p>
    <w:p w:rsidR="00580B8F" w:rsidRDefault="00580B8F" w:rsidP="00580B8F">
      <w:pPr>
        <w:spacing w:after="0" w:line="240" w:lineRule="auto"/>
        <w:ind w:left="720" w:right="-284"/>
        <w:contextualSpacing/>
        <w:jc w:val="center"/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</w:pPr>
      <w:r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  <w:t>2. Приложение В</w:t>
      </w:r>
      <w:r w:rsidRPr="00F4303E"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  <w:t>:</w:t>
      </w:r>
    </w:p>
    <w:p w:rsidR="00580B8F" w:rsidRDefault="00580B8F" w:rsidP="00580B8F">
      <w:pPr>
        <w:spacing w:after="0" w:line="240" w:lineRule="auto"/>
        <w:ind w:left="720" w:right="-284"/>
        <w:contextualSpacing/>
        <w:jc w:val="center"/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</w:pPr>
    </w:p>
    <w:p w:rsidR="00580B8F" w:rsidRPr="00F4303E" w:rsidRDefault="00580B8F" w:rsidP="00580B8F">
      <w:pPr>
        <w:spacing w:after="0" w:line="240" w:lineRule="auto"/>
        <w:ind w:left="709" w:right="4" w:hanging="709"/>
        <w:contextualSpacing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</w:pPr>
      <w:r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  <w:t xml:space="preserve">11. </w:t>
      </w:r>
      <w:r>
        <w:rPr>
          <w:rFonts w:ascii="Times New Roman" w:eastAsia="SimSun" w:hAnsi="Times New Roman" w:cs="Times New Roman"/>
          <w:b/>
          <w:iCs/>
          <w:sz w:val="28"/>
          <w:szCs w:val="28"/>
          <w:lang w:val="ru-RU" w:eastAsia="ru-RU"/>
        </w:rPr>
        <w:tab/>
      </w:r>
      <w:r w:rsidRPr="00B430FB"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 xml:space="preserve">Последний абзац пункта 2 </w:t>
      </w:r>
      <w:r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 xml:space="preserve">дополнить новым предложением в </w:t>
      </w:r>
      <w:r w:rsidRPr="00B430FB"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>следующей редакции:</w:t>
      </w:r>
    </w:p>
    <w:p w:rsidR="00580B8F" w:rsidRPr="00B83C71" w:rsidRDefault="00580B8F" w:rsidP="00580B8F">
      <w:pPr>
        <w:tabs>
          <w:tab w:val="center" w:pos="-709"/>
          <w:tab w:val="left" w:pos="-426"/>
        </w:tabs>
        <w:spacing w:after="0" w:line="240" w:lineRule="auto"/>
        <w:ind w:left="709" w:firstLine="425"/>
        <w:jc w:val="both"/>
        <w:rPr>
          <w:rFonts w:ascii="Times New Roman" w:eastAsia="SimSun" w:hAnsi="Times New Roman" w:cs="Times New Roman"/>
          <w:iCs/>
          <w:strike/>
          <w:sz w:val="28"/>
          <w:szCs w:val="28"/>
          <w:lang w:val="ru-RU" w:eastAsia="ru-RU"/>
        </w:rPr>
      </w:pPr>
      <w:r w:rsidRPr="000D2796"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>«В случае невозможности проведения совещаний в очном режиме, по согласованию со Сторонами Договора</w:t>
      </w:r>
      <w:r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>,</w:t>
      </w:r>
      <w:r w:rsidRPr="000D2796"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 xml:space="preserve"> совещания могут проводиться в режиме видеоконференции с использованием программы удаленного доступа (видеоконференцсвязь – ВКС)</w:t>
      </w:r>
      <w:r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>.».</w:t>
      </w:r>
      <w:r w:rsidRPr="000D2796">
        <w:rPr>
          <w:rFonts w:ascii="Times New Roman" w:eastAsia="SimSun" w:hAnsi="Times New Roman" w:cs="Times New Roman"/>
          <w:iCs/>
          <w:sz w:val="28"/>
          <w:szCs w:val="28"/>
          <w:lang w:val="ru-RU" w:eastAsia="ru-RU"/>
        </w:rPr>
        <w:t xml:space="preserve"> </w:t>
      </w:r>
    </w:p>
    <w:p w:rsidR="00D36D4E" w:rsidRPr="00580B8F" w:rsidRDefault="00D36D4E">
      <w:pPr>
        <w:rPr>
          <w:lang w:val="ru-RU"/>
        </w:rPr>
      </w:pPr>
    </w:p>
    <w:sectPr w:rsidR="00D36D4E" w:rsidRPr="00580B8F" w:rsidSect="00E1615D">
      <w:headerReference w:type="default" r:id="rId6"/>
      <w:pgSz w:w="12240" w:h="15840"/>
      <w:pgMar w:top="933" w:right="1440" w:bottom="567" w:left="1440" w:header="454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16339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615D" w:rsidRPr="00C94BC2" w:rsidRDefault="0049450B" w:rsidP="00C94BC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4B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4B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4B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9450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7</w:t>
        </w:r>
        <w:r w:rsidRPr="00C94B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234FB"/>
    <w:multiLevelType w:val="hybridMultilevel"/>
    <w:tmpl w:val="F612A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8F"/>
    <w:rsid w:val="0049450B"/>
    <w:rsid w:val="00580B8F"/>
    <w:rsid w:val="00D3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B62B08"/>
  <w15:chartTrackingRefBased/>
  <w15:docId w15:val="{CC491ED1-FD23-47EF-BF32-74EFD074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B8F"/>
    <w:rPr>
      <w:lang w:val="en-US"/>
    </w:rPr>
  </w:style>
  <w:style w:type="paragraph" w:styleId="1">
    <w:name w:val="heading 1"/>
    <w:basedOn w:val="a"/>
    <w:next w:val="a"/>
    <w:link w:val="10"/>
    <w:qFormat/>
    <w:rsid w:val="00580B8F"/>
    <w:pPr>
      <w:keepNext/>
      <w:keepLines/>
      <w:spacing w:before="480" w:after="0" w:line="240" w:lineRule="auto"/>
      <w:outlineLvl w:val="0"/>
    </w:pPr>
    <w:rPr>
      <w:rFonts w:ascii="Cambria" w:eastAsia="SimSun" w:hAnsi="Cambria" w:cs="Times New Roman"/>
      <w:b/>
      <w:color w:val="365F91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580B8F"/>
    <w:pPr>
      <w:keepNext/>
      <w:tabs>
        <w:tab w:val="center" w:pos="4253"/>
      </w:tabs>
      <w:spacing w:after="0" w:line="240" w:lineRule="auto"/>
      <w:jc w:val="both"/>
      <w:outlineLvl w:val="1"/>
    </w:pPr>
    <w:rPr>
      <w:rFonts w:ascii="Times New Roman" w:eastAsia="SimSun" w:hAnsi="Times New Roman" w:cs="Times New Roman"/>
      <w:b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B8F"/>
    <w:rPr>
      <w:rFonts w:ascii="Cambria" w:eastAsia="SimSun" w:hAnsi="Cambria" w:cs="Times New Roman"/>
      <w:b/>
      <w:color w:val="365F91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0B8F"/>
    <w:rPr>
      <w:rFonts w:ascii="Times New Roman" w:eastAsia="SimSu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0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0B8F"/>
    <w:rPr>
      <w:lang w:val="en-US"/>
    </w:rPr>
  </w:style>
  <w:style w:type="paragraph" w:styleId="a5">
    <w:name w:val="List Paragraph"/>
    <w:basedOn w:val="a"/>
    <w:uiPriority w:val="34"/>
    <w:qFormat/>
    <w:rsid w:val="00580B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0B8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Artemjeva</dc:creator>
  <cp:keywords/>
  <dc:description/>
  <cp:lastModifiedBy>Olga Artemjeva</cp:lastModifiedBy>
  <cp:revision>1</cp:revision>
  <cp:lastPrinted>2020-11-25T10:12:00Z</cp:lastPrinted>
  <dcterms:created xsi:type="dcterms:W3CDTF">2020-11-25T10:08:00Z</dcterms:created>
  <dcterms:modified xsi:type="dcterms:W3CDTF">2020-11-25T12:59:00Z</dcterms:modified>
</cp:coreProperties>
</file>