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83" w:rsidRPr="00234BFF" w:rsidRDefault="006858D9" w:rsidP="00CB6B83">
      <w:pPr>
        <w:spacing w:after="120" w:line="240" w:lineRule="auto"/>
        <w:ind w:left="71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CB6B83">
        <w:rPr>
          <w:rFonts w:ascii="Times New Roman" w:hAnsi="Times New Roman"/>
          <w:b/>
          <w:sz w:val="28"/>
          <w:szCs w:val="28"/>
        </w:rPr>
        <w:tab/>
      </w:r>
      <w:r w:rsidRPr="00CB6B83">
        <w:rPr>
          <w:rFonts w:ascii="Times New Roman" w:hAnsi="Times New Roman"/>
          <w:b/>
          <w:sz w:val="28"/>
          <w:szCs w:val="28"/>
        </w:rPr>
        <w:tab/>
      </w:r>
      <w:r w:rsidRPr="00CB6B83">
        <w:rPr>
          <w:rFonts w:ascii="Times New Roman" w:hAnsi="Times New Roman"/>
          <w:b/>
          <w:sz w:val="28"/>
          <w:szCs w:val="28"/>
        </w:rPr>
        <w:tab/>
      </w:r>
      <w:r w:rsidRPr="00CB6B83">
        <w:rPr>
          <w:rFonts w:ascii="Times New Roman" w:hAnsi="Times New Roman"/>
          <w:b/>
          <w:sz w:val="28"/>
          <w:szCs w:val="28"/>
        </w:rPr>
        <w:tab/>
      </w:r>
      <w:r w:rsidR="00CB6B83" w:rsidRPr="00CB6B83">
        <w:rPr>
          <w:rFonts w:ascii="Times New Roman" w:hAnsi="Times New Roman"/>
          <w:b/>
          <w:sz w:val="28"/>
          <w:szCs w:val="28"/>
        </w:rPr>
        <w:t>Додаток</w:t>
      </w:r>
      <w:r w:rsidR="00234BFF" w:rsidRPr="005B3388">
        <w:rPr>
          <w:rFonts w:ascii="Times New Roman" w:hAnsi="Times New Roman"/>
          <w:b/>
          <w:sz w:val="28"/>
          <w:szCs w:val="28"/>
        </w:rPr>
        <w:t xml:space="preserve"> 4</w:t>
      </w:r>
      <w:r w:rsidR="00234BFF">
        <w:rPr>
          <w:rFonts w:ascii="Times New Roman" w:hAnsi="Times New Roman"/>
          <w:b/>
          <w:sz w:val="28"/>
          <w:szCs w:val="28"/>
        </w:rPr>
        <w:t>.1817(8)</w:t>
      </w:r>
    </w:p>
    <w:p w:rsidR="00CB6B83" w:rsidRPr="00CB6B83" w:rsidRDefault="00CB6B83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B6B83" w:rsidRPr="00CB6B83" w:rsidRDefault="00CB6B83" w:rsidP="00CB6B83">
      <w:pPr>
        <w:spacing w:after="0"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  <w:r w:rsidRPr="00CB6B83">
        <w:rPr>
          <w:rFonts w:ascii="Times New Roman" w:hAnsi="Times New Roman"/>
          <w:b/>
          <w:sz w:val="28"/>
          <w:szCs w:val="28"/>
        </w:rPr>
        <w:tab/>
        <w:t xml:space="preserve">Експлуатаційний вантажообіг брутто у пасажирському русі  </w:t>
      </w:r>
      <w:r w:rsidRPr="00CB6B83">
        <w:rPr>
          <w:rFonts w:ascii="Times New Roman" w:hAnsi="Times New Roman"/>
          <w:sz w:val="28"/>
          <w:szCs w:val="28"/>
        </w:rPr>
        <w:t>у 201</w:t>
      </w:r>
      <w:r>
        <w:rPr>
          <w:rFonts w:ascii="Times New Roman" w:hAnsi="Times New Roman"/>
          <w:sz w:val="28"/>
          <w:szCs w:val="28"/>
        </w:rPr>
        <w:t>8</w:t>
      </w:r>
      <w:r w:rsidRPr="00CB6B83">
        <w:rPr>
          <w:rFonts w:ascii="Times New Roman" w:hAnsi="Times New Roman"/>
          <w:sz w:val="28"/>
          <w:szCs w:val="28"/>
        </w:rPr>
        <w:t xml:space="preserve"> році збільшився по відношенню до 201</w:t>
      </w:r>
      <w:r>
        <w:rPr>
          <w:rFonts w:ascii="Times New Roman" w:hAnsi="Times New Roman"/>
          <w:sz w:val="28"/>
          <w:szCs w:val="28"/>
        </w:rPr>
        <w:t>7</w:t>
      </w:r>
      <w:r w:rsidRPr="00CB6B83">
        <w:rPr>
          <w:rFonts w:ascii="Times New Roman" w:hAnsi="Times New Roman"/>
          <w:sz w:val="28"/>
          <w:szCs w:val="28"/>
        </w:rPr>
        <w:t xml:space="preserve"> року на  </w:t>
      </w:r>
      <w:r w:rsidR="00615E22">
        <w:rPr>
          <w:rFonts w:ascii="Times New Roman" w:hAnsi="Times New Roman"/>
          <w:sz w:val="28"/>
          <w:szCs w:val="28"/>
        </w:rPr>
        <w:t>5,7</w:t>
      </w:r>
      <w:r w:rsidRPr="00CB6B83">
        <w:rPr>
          <w:rFonts w:ascii="Times New Roman" w:hAnsi="Times New Roman"/>
          <w:sz w:val="28"/>
          <w:szCs w:val="28"/>
        </w:rPr>
        <w:t xml:space="preserve">% або у абсолютному значенні на </w:t>
      </w:r>
      <w:r w:rsidR="00AA5759">
        <w:rPr>
          <w:rFonts w:ascii="Times New Roman" w:hAnsi="Times New Roman"/>
          <w:sz w:val="28"/>
          <w:szCs w:val="28"/>
        </w:rPr>
        <w:t>2,</w:t>
      </w:r>
      <w:r w:rsidR="00056E07">
        <w:rPr>
          <w:rFonts w:ascii="Times New Roman" w:hAnsi="Times New Roman"/>
          <w:sz w:val="28"/>
          <w:szCs w:val="28"/>
        </w:rPr>
        <w:t>1</w:t>
      </w:r>
      <w:r w:rsidRPr="00CB6B83">
        <w:rPr>
          <w:rFonts w:ascii="Times New Roman" w:hAnsi="Times New Roman"/>
          <w:sz w:val="28"/>
          <w:szCs w:val="28"/>
        </w:rPr>
        <w:t xml:space="preserve"> млрд. т-км брутто  (у 201</w:t>
      </w:r>
      <w:r w:rsidR="00AA5759">
        <w:rPr>
          <w:rFonts w:ascii="Times New Roman" w:hAnsi="Times New Roman"/>
          <w:sz w:val="28"/>
          <w:szCs w:val="28"/>
        </w:rPr>
        <w:t>8</w:t>
      </w:r>
      <w:r w:rsidRPr="00CB6B83">
        <w:rPr>
          <w:rFonts w:ascii="Times New Roman" w:hAnsi="Times New Roman"/>
          <w:sz w:val="28"/>
          <w:szCs w:val="28"/>
        </w:rPr>
        <w:t xml:space="preserve">  році обсяг перевезень складав 3</w:t>
      </w:r>
      <w:r w:rsidR="00AA5759">
        <w:rPr>
          <w:rFonts w:ascii="Times New Roman" w:hAnsi="Times New Roman"/>
          <w:sz w:val="28"/>
          <w:szCs w:val="28"/>
        </w:rPr>
        <w:t>8</w:t>
      </w:r>
      <w:r w:rsidRPr="00CB6B83">
        <w:rPr>
          <w:rFonts w:ascii="Times New Roman" w:hAnsi="Times New Roman"/>
          <w:sz w:val="28"/>
          <w:szCs w:val="28"/>
        </w:rPr>
        <w:t>,</w:t>
      </w:r>
      <w:r w:rsidR="00AA5759">
        <w:rPr>
          <w:rFonts w:ascii="Times New Roman" w:hAnsi="Times New Roman"/>
          <w:sz w:val="28"/>
          <w:szCs w:val="28"/>
        </w:rPr>
        <w:t>7</w:t>
      </w:r>
      <w:r w:rsidRPr="00CB6B83">
        <w:rPr>
          <w:rFonts w:ascii="Times New Roman" w:hAnsi="Times New Roman"/>
          <w:sz w:val="28"/>
          <w:szCs w:val="28"/>
        </w:rPr>
        <w:t xml:space="preserve"> млрд. т-км брутто,  а   у 201</w:t>
      </w:r>
      <w:r w:rsidR="00AA5759">
        <w:rPr>
          <w:rFonts w:ascii="Times New Roman" w:hAnsi="Times New Roman"/>
          <w:sz w:val="28"/>
          <w:szCs w:val="28"/>
        </w:rPr>
        <w:t>7</w:t>
      </w:r>
      <w:r w:rsidRPr="00CB6B83">
        <w:rPr>
          <w:rFonts w:ascii="Times New Roman" w:hAnsi="Times New Roman"/>
          <w:sz w:val="28"/>
          <w:szCs w:val="28"/>
        </w:rPr>
        <w:t xml:space="preserve"> році  36,</w:t>
      </w:r>
      <w:r w:rsidR="00056E07">
        <w:rPr>
          <w:rFonts w:ascii="Times New Roman" w:hAnsi="Times New Roman"/>
          <w:sz w:val="28"/>
          <w:szCs w:val="28"/>
        </w:rPr>
        <w:t>6</w:t>
      </w:r>
      <w:r w:rsidRPr="00CB6B83">
        <w:rPr>
          <w:rFonts w:ascii="Times New Roman" w:hAnsi="Times New Roman"/>
          <w:sz w:val="28"/>
          <w:szCs w:val="28"/>
        </w:rPr>
        <w:t xml:space="preserve"> млрд.  т-км брутто). </w:t>
      </w:r>
    </w:p>
    <w:p w:rsidR="00CB6B83" w:rsidRPr="00CB6B83" w:rsidRDefault="00CB6B83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6B83">
        <w:rPr>
          <w:rFonts w:ascii="Times New Roman" w:hAnsi="Times New Roman"/>
          <w:b/>
          <w:sz w:val="28"/>
          <w:szCs w:val="28"/>
        </w:rPr>
        <w:tab/>
      </w:r>
      <w:r w:rsidRPr="00CB6B83">
        <w:rPr>
          <w:rFonts w:ascii="Times New Roman" w:hAnsi="Times New Roman"/>
          <w:b/>
          <w:sz w:val="28"/>
          <w:szCs w:val="28"/>
        </w:rPr>
        <w:tab/>
      </w:r>
      <w:r w:rsidRPr="00CB6B83">
        <w:rPr>
          <w:rFonts w:ascii="Times New Roman" w:hAnsi="Times New Roman"/>
          <w:sz w:val="28"/>
          <w:szCs w:val="28"/>
        </w:rPr>
        <w:t>В  таблиці представлено  розподіл сумарної довжини Дільниць, на яких відбулось падіння  та приріст обсягів перевезень в експлуатаційних т-км брутто</w:t>
      </w:r>
      <w:r w:rsidR="0009741A">
        <w:rPr>
          <w:rFonts w:ascii="Times New Roman" w:hAnsi="Times New Roman"/>
          <w:sz w:val="28"/>
          <w:szCs w:val="28"/>
        </w:rPr>
        <w:t xml:space="preserve"> у пасажирському русі</w:t>
      </w:r>
      <w:r w:rsidRPr="00CB6B83">
        <w:rPr>
          <w:rFonts w:ascii="Times New Roman" w:hAnsi="Times New Roman"/>
          <w:sz w:val="28"/>
          <w:szCs w:val="28"/>
        </w:rPr>
        <w:t xml:space="preserve"> до 201</w:t>
      </w:r>
      <w:r w:rsidR="00AA5759">
        <w:rPr>
          <w:rFonts w:ascii="Times New Roman" w:hAnsi="Times New Roman"/>
          <w:sz w:val="28"/>
          <w:szCs w:val="28"/>
        </w:rPr>
        <w:t>8</w:t>
      </w:r>
      <w:r w:rsidRPr="00CB6B83">
        <w:rPr>
          <w:rFonts w:ascii="Times New Roman" w:hAnsi="Times New Roman"/>
          <w:sz w:val="28"/>
          <w:szCs w:val="28"/>
        </w:rPr>
        <w:t xml:space="preserve"> року. </w:t>
      </w:r>
      <w:r w:rsidRPr="00CB6B83">
        <w:rPr>
          <w:rFonts w:ascii="Times New Roman" w:hAnsi="Times New Roman"/>
          <w:b/>
          <w:sz w:val="28"/>
          <w:szCs w:val="28"/>
        </w:rPr>
        <w:tab/>
      </w:r>
    </w:p>
    <w:p w:rsidR="00CB6B83" w:rsidRPr="00CB6B83" w:rsidRDefault="00CB6B83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384"/>
        <w:gridCol w:w="1178"/>
        <w:gridCol w:w="1030"/>
        <w:gridCol w:w="1842"/>
        <w:gridCol w:w="1418"/>
      </w:tblGrid>
      <w:tr w:rsidR="006858D9" w:rsidRPr="00CB6B83" w:rsidTr="00CB6B83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6858D9" w:rsidRPr="00CB6B83" w:rsidRDefault="006858D9" w:rsidP="0009741A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6B83">
              <w:rPr>
                <w:rFonts w:ascii="Times New Roman" w:hAnsi="Times New Roman"/>
                <w:b/>
                <w:sz w:val="28"/>
                <w:szCs w:val="28"/>
              </w:rPr>
              <w:t xml:space="preserve">Експлуатаційний вантажообіг </w:t>
            </w:r>
            <w:r w:rsidR="004843F6" w:rsidRPr="00CB6B83">
              <w:rPr>
                <w:rFonts w:ascii="Times New Roman" w:hAnsi="Times New Roman"/>
                <w:b/>
                <w:sz w:val="28"/>
                <w:szCs w:val="28"/>
              </w:rPr>
              <w:t>бру</w:t>
            </w:r>
            <w:r w:rsidRPr="00CB6B83">
              <w:rPr>
                <w:rFonts w:ascii="Times New Roman" w:hAnsi="Times New Roman"/>
                <w:b/>
                <w:sz w:val="28"/>
                <w:szCs w:val="28"/>
              </w:rPr>
              <w:t xml:space="preserve">тто у </w:t>
            </w:r>
            <w:r w:rsidR="004843F6" w:rsidRPr="00CB6B83">
              <w:rPr>
                <w:rFonts w:ascii="Times New Roman" w:hAnsi="Times New Roman"/>
                <w:b/>
                <w:sz w:val="28"/>
                <w:szCs w:val="28"/>
              </w:rPr>
              <w:t xml:space="preserve">пасажирському </w:t>
            </w:r>
            <w:r w:rsidRPr="00CB6B83">
              <w:rPr>
                <w:rFonts w:ascii="Times New Roman" w:hAnsi="Times New Roman"/>
                <w:b/>
                <w:sz w:val="28"/>
                <w:szCs w:val="28"/>
              </w:rPr>
              <w:t xml:space="preserve"> русі  </w:t>
            </w:r>
            <w:r w:rsidR="00AA5759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CB6B83">
              <w:rPr>
                <w:rFonts w:ascii="Times New Roman" w:hAnsi="Times New Roman"/>
                <w:b/>
                <w:sz w:val="28"/>
                <w:szCs w:val="28"/>
              </w:rPr>
              <w:t xml:space="preserve">тис. т-км </w:t>
            </w:r>
            <w:r w:rsidR="000F51C3" w:rsidRPr="00CB6B83">
              <w:rPr>
                <w:rFonts w:ascii="Times New Roman" w:hAnsi="Times New Roman"/>
                <w:b/>
                <w:sz w:val="28"/>
                <w:szCs w:val="28"/>
              </w:rPr>
              <w:t>брут</w:t>
            </w:r>
            <w:r w:rsidRPr="00CB6B83">
              <w:rPr>
                <w:rFonts w:ascii="Times New Roman" w:hAnsi="Times New Roman"/>
                <w:b/>
                <w:sz w:val="28"/>
                <w:szCs w:val="28"/>
              </w:rPr>
              <w:t>то)</w:t>
            </w:r>
            <w:r w:rsidR="00AA5759">
              <w:rPr>
                <w:rFonts w:ascii="Times New Roman" w:hAnsi="Times New Roman"/>
                <w:b/>
                <w:sz w:val="28"/>
                <w:szCs w:val="28"/>
              </w:rPr>
              <w:t>, розподілени</w:t>
            </w:r>
            <w:r w:rsidR="0009741A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="00AA5759">
              <w:rPr>
                <w:rFonts w:ascii="Times New Roman" w:hAnsi="Times New Roman"/>
                <w:b/>
                <w:sz w:val="28"/>
                <w:szCs w:val="28"/>
              </w:rPr>
              <w:t xml:space="preserve"> по діапазонам.  </w:t>
            </w:r>
          </w:p>
        </w:tc>
        <w:tc>
          <w:tcPr>
            <w:tcW w:w="5431" w:type="dxa"/>
            <w:gridSpan w:val="4"/>
            <w:shd w:val="clear" w:color="auto" w:fill="DAEEF3"/>
            <w:vAlign w:val="center"/>
          </w:tcPr>
          <w:p w:rsidR="006858D9" w:rsidRPr="00CB6B83" w:rsidRDefault="00AA5759" w:rsidP="005608F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759">
              <w:rPr>
                <w:rFonts w:ascii="Times New Roman" w:hAnsi="Times New Roman"/>
                <w:b/>
                <w:sz w:val="28"/>
                <w:szCs w:val="28"/>
              </w:rPr>
              <w:t>Розподіл сумарної довжини Дільниць   за результатами співставлення виконання  роботи 2018 році  до 2017 року</w:t>
            </w:r>
          </w:p>
        </w:tc>
      </w:tr>
      <w:tr w:rsidR="006858D9" w:rsidRPr="00CB6B83" w:rsidTr="00CB6B83">
        <w:trPr>
          <w:trHeight w:val="1214"/>
          <w:jc w:val="center"/>
        </w:trPr>
        <w:tc>
          <w:tcPr>
            <w:tcW w:w="4384" w:type="dxa"/>
            <w:vMerge/>
            <w:vAlign w:val="center"/>
          </w:tcPr>
          <w:p w:rsidR="006858D9" w:rsidRPr="00CB6B83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6858D9" w:rsidRPr="00CB6B83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6858D9" w:rsidRPr="00CB6B83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 xml:space="preserve">км </w:t>
            </w:r>
          </w:p>
          <w:p w:rsidR="006858D9" w:rsidRPr="00CB6B83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6858D9" w:rsidRPr="00CB6B83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418" w:type="dxa"/>
            <w:shd w:val="clear" w:color="auto" w:fill="DAEEF3"/>
          </w:tcPr>
          <w:p w:rsidR="006858D9" w:rsidRPr="00CB6B83" w:rsidRDefault="006858D9" w:rsidP="00E50981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741A65" w:rsidRPr="00CB6B83" w:rsidTr="00963150">
        <w:trPr>
          <w:trHeight w:val="302"/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- 30 000...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1 078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1 147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1112,5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до  - 30 000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794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553,5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до  - 20 000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616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463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до  - 10 000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637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847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742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до  - 5 000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2 038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2 436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2237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± 1 000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7 878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7 351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7614,5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38,1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до  + 20 000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4 978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5 148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5063</w:t>
            </w:r>
          </w:p>
        </w:tc>
        <w:tc>
          <w:tcPr>
            <w:tcW w:w="1418" w:type="dxa"/>
          </w:tcPr>
          <w:p w:rsidR="00741A65" w:rsidRPr="00CB6B83" w:rsidRDefault="005B3388" w:rsidP="00741A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25,4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до  + 40 000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1 470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1 385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1427,5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до  + 60 000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488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329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408,5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2,0</w:t>
            </w:r>
            <w:bookmarkStart w:id="0" w:name="_GoBack"/>
            <w:bookmarkEnd w:id="0"/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до  + 80 000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741A65" w:rsidRPr="00CB6B83" w:rsidTr="00963150">
        <w:trPr>
          <w:jc w:val="center"/>
        </w:trPr>
        <w:tc>
          <w:tcPr>
            <w:tcW w:w="4384" w:type="dxa"/>
          </w:tcPr>
          <w:p w:rsidR="00741A65" w:rsidRPr="00234BFF" w:rsidRDefault="00741A65" w:rsidP="00741A65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4BFF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+ 80 000 …</w:t>
            </w:r>
          </w:p>
        </w:tc>
        <w:tc>
          <w:tcPr>
            <w:tcW w:w="1178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993" w:type="dxa"/>
            <w:shd w:val="clear" w:color="auto" w:fill="D6E3BC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1842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1418" w:type="dxa"/>
          </w:tcPr>
          <w:p w:rsidR="00741A65" w:rsidRPr="00CB6B83" w:rsidRDefault="00741A65" w:rsidP="00741A65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435F09" w:rsidRPr="00CB6B83" w:rsidTr="00CB6B83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435F09" w:rsidRPr="00CB6B83" w:rsidRDefault="00435F09" w:rsidP="00435F09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6B83">
              <w:rPr>
                <w:rFonts w:ascii="Times New Roman" w:hAnsi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435F09" w:rsidRPr="00CB6B83" w:rsidRDefault="00435F09" w:rsidP="00435F09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435F09" w:rsidRPr="00CB6B83" w:rsidRDefault="00435F09" w:rsidP="00435F09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435F09" w:rsidRPr="00CB6B83" w:rsidRDefault="00435F09" w:rsidP="00FD23D9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1997</w:t>
            </w:r>
            <w:r w:rsidR="00FD23D9" w:rsidRPr="00CB6B8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shd w:val="clear" w:color="auto" w:fill="FFFF00"/>
          </w:tcPr>
          <w:p w:rsidR="00435F09" w:rsidRPr="00CB6B83" w:rsidRDefault="00435F09" w:rsidP="00435F09">
            <w:pPr>
              <w:rPr>
                <w:rFonts w:ascii="Times New Roman" w:hAnsi="Times New Roman"/>
                <w:sz w:val="28"/>
                <w:szCs w:val="28"/>
              </w:rPr>
            </w:pPr>
            <w:r w:rsidRPr="00CB6B8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 w:rsidR="00CB6B83" w:rsidRPr="00CB6B83" w:rsidRDefault="00CB6B83" w:rsidP="00CB6B83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B6B83" w:rsidRPr="00CB6B83" w:rsidRDefault="004843F6" w:rsidP="00CB6B83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CB6B83">
        <w:rPr>
          <w:rFonts w:ascii="Times New Roman" w:hAnsi="Times New Roman"/>
          <w:sz w:val="28"/>
          <w:szCs w:val="28"/>
        </w:rPr>
        <w:tab/>
      </w:r>
      <w:r w:rsidR="00CB6B83" w:rsidRPr="00CB6B83">
        <w:rPr>
          <w:rFonts w:ascii="Times New Roman" w:hAnsi="Times New Roman"/>
          <w:color w:val="FF0000"/>
          <w:sz w:val="28"/>
          <w:szCs w:val="28"/>
        </w:rPr>
        <w:t xml:space="preserve">На  </w:t>
      </w:r>
      <w:r w:rsidR="005B3388" w:rsidRPr="005B3388">
        <w:rPr>
          <w:rFonts w:ascii="Times New Roman" w:hAnsi="Times New Roman"/>
          <w:color w:val="FF0000"/>
          <w:sz w:val="28"/>
          <w:szCs w:val="28"/>
        </w:rPr>
        <w:t>5108</w:t>
      </w:r>
      <w:r w:rsidR="00CB6B83" w:rsidRPr="00CB6B83">
        <w:rPr>
          <w:rFonts w:ascii="Times New Roman" w:hAnsi="Times New Roman"/>
          <w:color w:val="FF0000"/>
          <w:sz w:val="28"/>
          <w:szCs w:val="28"/>
        </w:rPr>
        <w:t xml:space="preserve"> км загальної довжини Дільниць або </w:t>
      </w:r>
      <w:r w:rsidR="005B3388" w:rsidRPr="005B3388">
        <w:rPr>
          <w:rFonts w:ascii="Times New Roman" w:hAnsi="Times New Roman"/>
          <w:color w:val="FF0000"/>
          <w:sz w:val="28"/>
          <w:szCs w:val="28"/>
        </w:rPr>
        <w:t>25</w:t>
      </w:r>
      <w:r w:rsidR="005B3388">
        <w:rPr>
          <w:rFonts w:ascii="Times New Roman" w:hAnsi="Times New Roman"/>
          <w:color w:val="FF0000"/>
          <w:sz w:val="28"/>
          <w:szCs w:val="28"/>
        </w:rPr>
        <w:t>,</w:t>
      </w:r>
      <w:r w:rsidR="005B3388" w:rsidRPr="005B3388">
        <w:rPr>
          <w:rFonts w:ascii="Times New Roman" w:hAnsi="Times New Roman"/>
          <w:color w:val="FF0000"/>
          <w:sz w:val="28"/>
          <w:szCs w:val="28"/>
        </w:rPr>
        <w:t>6</w:t>
      </w:r>
      <w:r w:rsidR="00CB6B83" w:rsidRPr="00CB6B83">
        <w:rPr>
          <w:rFonts w:ascii="Times New Roman" w:hAnsi="Times New Roman"/>
          <w:b/>
          <w:color w:val="FF0000"/>
          <w:sz w:val="28"/>
          <w:szCs w:val="28"/>
        </w:rPr>
        <w:t>%</w:t>
      </w:r>
      <w:r w:rsidR="00CB6B83" w:rsidRPr="00CB6B83">
        <w:rPr>
          <w:rFonts w:ascii="Times New Roman" w:hAnsi="Times New Roman"/>
          <w:color w:val="FF0000"/>
          <w:sz w:val="28"/>
          <w:szCs w:val="28"/>
        </w:rPr>
        <w:t xml:space="preserve">   відбулось </w:t>
      </w:r>
      <w:r w:rsidR="00CB6B83" w:rsidRPr="00CB6B83">
        <w:rPr>
          <w:rFonts w:ascii="Times New Roman" w:hAnsi="Times New Roman"/>
          <w:b/>
          <w:color w:val="FF0000"/>
          <w:sz w:val="28"/>
          <w:szCs w:val="28"/>
        </w:rPr>
        <w:t>падіння   обсягів</w:t>
      </w:r>
      <w:r w:rsidR="00CB6B83" w:rsidRPr="00CB6B83">
        <w:rPr>
          <w:rFonts w:ascii="Times New Roman" w:hAnsi="Times New Roman"/>
          <w:color w:val="FF0000"/>
          <w:sz w:val="28"/>
          <w:szCs w:val="28"/>
        </w:rPr>
        <w:t xml:space="preserve"> перевезень  до 201</w:t>
      </w:r>
      <w:r w:rsidR="00AA5759">
        <w:rPr>
          <w:rFonts w:ascii="Times New Roman" w:hAnsi="Times New Roman"/>
          <w:color w:val="FF0000"/>
          <w:sz w:val="28"/>
          <w:szCs w:val="28"/>
        </w:rPr>
        <w:t>7</w:t>
      </w:r>
      <w:r w:rsidR="00CB6B83" w:rsidRPr="00CB6B83">
        <w:rPr>
          <w:rFonts w:ascii="Times New Roman" w:hAnsi="Times New Roman"/>
          <w:color w:val="FF0000"/>
          <w:sz w:val="28"/>
          <w:szCs w:val="28"/>
        </w:rPr>
        <w:t xml:space="preserve"> року в діапазоні від 30 до 1 млн т-км брутто.</w:t>
      </w:r>
    </w:p>
    <w:p w:rsidR="00CB6B83" w:rsidRPr="00CB6B83" w:rsidRDefault="00CB6B83" w:rsidP="00CB6B83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6B83" w:rsidRPr="00CB6B83" w:rsidRDefault="00CB6B83" w:rsidP="00CB6B83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color w:val="70AD47"/>
          <w:sz w:val="28"/>
          <w:szCs w:val="28"/>
        </w:rPr>
      </w:pPr>
      <w:r w:rsidRPr="00CB6B83">
        <w:rPr>
          <w:rFonts w:ascii="Times New Roman" w:hAnsi="Times New Roman"/>
          <w:color w:val="70AD47"/>
          <w:sz w:val="28"/>
          <w:szCs w:val="28"/>
        </w:rPr>
        <w:tab/>
        <w:t xml:space="preserve">На  </w:t>
      </w:r>
      <w:r w:rsidR="005B3388">
        <w:rPr>
          <w:rFonts w:ascii="Times New Roman" w:hAnsi="Times New Roman"/>
          <w:color w:val="70AD47"/>
          <w:sz w:val="28"/>
          <w:szCs w:val="28"/>
          <w:lang w:val="ru-RU"/>
        </w:rPr>
        <w:t>14870</w:t>
      </w:r>
      <w:r w:rsidR="005B3388">
        <w:rPr>
          <w:rFonts w:ascii="Times New Roman" w:hAnsi="Times New Roman"/>
          <w:color w:val="70AD47"/>
          <w:sz w:val="28"/>
          <w:szCs w:val="28"/>
        </w:rPr>
        <w:t xml:space="preserve">,5 </w:t>
      </w:r>
      <w:r w:rsidRPr="00CB6B83">
        <w:rPr>
          <w:rFonts w:ascii="Times New Roman" w:hAnsi="Times New Roman"/>
          <w:color w:val="70AD47"/>
          <w:sz w:val="28"/>
          <w:szCs w:val="28"/>
        </w:rPr>
        <w:t xml:space="preserve">км загальної довжини Дільниць або </w:t>
      </w:r>
      <w:r w:rsidR="005B3388">
        <w:rPr>
          <w:rFonts w:ascii="Times New Roman" w:hAnsi="Times New Roman"/>
          <w:color w:val="70AD47"/>
          <w:sz w:val="28"/>
          <w:szCs w:val="28"/>
          <w:lang w:val="ru-RU"/>
        </w:rPr>
        <w:t>74</w:t>
      </w:r>
      <w:r w:rsidR="00AA5759">
        <w:rPr>
          <w:rFonts w:ascii="Times New Roman" w:hAnsi="Times New Roman"/>
          <w:color w:val="70AD47"/>
          <w:sz w:val="28"/>
          <w:szCs w:val="28"/>
        </w:rPr>
        <w:t>,</w:t>
      </w:r>
      <w:r w:rsidR="005B3388" w:rsidRPr="005B3388">
        <w:rPr>
          <w:rFonts w:ascii="Times New Roman" w:hAnsi="Times New Roman"/>
          <w:color w:val="70AD47"/>
          <w:sz w:val="28"/>
          <w:szCs w:val="28"/>
          <w:lang w:val="ru-RU"/>
        </w:rPr>
        <w:t>4</w:t>
      </w:r>
      <w:r w:rsidRPr="00CB6B83">
        <w:rPr>
          <w:rFonts w:ascii="Times New Roman" w:hAnsi="Times New Roman"/>
          <w:color w:val="70AD47"/>
          <w:sz w:val="28"/>
          <w:szCs w:val="28"/>
        </w:rPr>
        <w:t xml:space="preserve">% відбулося  </w:t>
      </w:r>
      <w:r w:rsidRPr="00CB6B83">
        <w:rPr>
          <w:rFonts w:ascii="Times New Roman" w:hAnsi="Times New Roman"/>
          <w:b/>
          <w:color w:val="70AD47"/>
          <w:sz w:val="28"/>
          <w:szCs w:val="28"/>
        </w:rPr>
        <w:t>зростання</w:t>
      </w:r>
      <w:r w:rsidRPr="00CB6B83">
        <w:rPr>
          <w:rFonts w:ascii="Times New Roman" w:hAnsi="Times New Roman"/>
          <w:color w:val="70AD47"/>
          <w:sz w:val="28"/>
          <w:szCs w:val="28"/>
        </w:rPr>
        <w:t xml:space="preserve"> </w:t>
      </w:r>
      <w:r w:rsidRPr="00CB6B83">
        <w:rPr>
          <w:rFonts w:ascii="Times New Roman" w:hAnsi="Times New Roman"/>
          <w:b/>
          <w:color w:val="70AD47"/>
          <w:sz w:val="28"/>
          <w:szCs w:val="28"/>
        </w:rPr>
        <w:t>обсягів</w:t>
      </w:r>
      <w:r w:rsidRPr="00CB6B83">
        <w:rPr>
          <w:rFonts w:ascii="Times New Roman" w:hAnsi="Times New Roman"/>
          <w:color w:val="70AD47"/>
          <w:sz w:val="28"/>
          <w:szCs w:val="28"/>
        </w:rPr>
        <w:t xml:space="preserve"> перевезень до 201</w:t>
      </w:r>
      <w:r w:rsidR="00AA5759">
        <w:rPr>
          <w:rFonts w:ascii="Times New Roman" w:hAnsi="Times New Roman"/>
          <w:color w:val="70AD47"/>
          <w:sz w:val="28"/>
          <w:szCs w:val="28"/>
        </w:rPr>
        <w:t>7</w:t>
      </w:r>
      <w:r w:rsidRPr="00CB6B83">
        <w:rPr>
          <w:rFonts w:ascii="Times New Roman" w:hAnsi="Times New Roman"/>
          <w:color w:val="70AD47"/>
          <w:sz w:val="28"/>
          <w:szCs w:val="28"/>
        </w:rPr>
        <w:t xml:space="preserve"> року  у діапазоні від 1 до понад 80 млн т-км брутто.</w:t>
      </w:r>
    </w:p>
    <w:p w:rsidR="00CB6B83" w:rsidRPr="00CB6B83" w:rsidRDefault="00CB6B83" w:rsidP="00CB6B83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53F" w:rsidRPr="00CB6B83" w:rsidRDefault="009B153F" w:rsidP="001A5DAE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9B153F" w:rsidRPr="00CB6B83" w:rsidSect="005503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632" w:rsidRDefault="004F1632" w:rsidP="007C5CA6">
      <w:pPr>
        <w:spacing w:after="0" w:line="240" w:lineRule="auto"/>
      </w:pPr>
      <w:r>
        <w:separator/>
      </w:r>
    </w:p>
  </w:endnote>
  <w:endnote w:type="continuationSeparator" w:id="0">
    <w:p w:rsidR="004F1632" w:rsidRDefault="004F1632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632" w:rsidRDefault="004F1632" w:rsidP="007C5CA6">
      <w:pPr>
        <w:spacing w:after="0" w:line="240" w:lineRule="auto"/>
      </w:pPr>
      <w:r>
        <w:separator/>
      </w:r>
    </w:p>
  </w:footnote>
  <w:footnote w:type="continuationSeparator" w:id="0">
    <w:p w:rsidR="004F1632" w:rsidRDefault="004F1632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  <w:p w:rsidR="006858D9" w:rsidRDefault="006858D9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56E07"/>
    <w:rsid w:val="00056F5D"/>
    <w:rsid w:val="00080B16"/>
    <w:rsid w:val="00083F5C"/>
    <w:rsid w:val="00084233"/>
    <w:rsid w:val="00090A35"/>
    <w:rsid w:val="00091A36"/>
    <w:rsid w:val="000958D5"/>
    <w:rsid w:val="0009741A"/>
    <w:rsid w:val="000A17BB"/>
    <w:rsid w:val="000B315E"/>
    <w:rsid w:val="000C406B"/>
    <w:rsid w:val="000D1521"/>
    <w:rsid w:val="000F15B2"/>
    <w:rsid w:val="000F37A3"/>
    <w:rsid w:val="000F51C3"/>
    <w:rsid w:val="00112498"/>
    <w:rsid w:val="00112E48"/>
    <w:rsid w:val="00117A6E"/>
    <w:rsid w:val="001305CD"/>
    <w:rsid w:val="00134998"/>
    <w:rsid w:val="001420E0"/>
    <w:rsid w:val="00142FD2"/>
    <w:rsid w:val="0015082D"/>
    <w:rsid w:val="00152C53"/>
    <w:rsid w:val="00156C3F"/>
    <w:rsid w:val="001649E7"/>
    <w:rsid w:val="00177FCB"/>
    <w:rsid w:val="00180622"/>
    <w:rsid w:val="001A5DAE"/>
    <w:rsid w:val="001A7F34"/>
    <w:rsid w:val="001B58B3"/>
    <w:rsid w:val="001E6EFF"/>
    <w:rsid w:val="001F1BB6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4BFF"/>
    <w:rsid w:val="00236160"/>
    <w:rsid w:val="0024157C"/>
    <w:rsid w:val="00242FA4"/>
    <w:rsid w:val="002460BA"/>
    <w:rsid w:val="00246852"/>
    <w:rsid w:val="00254D08"/>
    <w:rsid w:val="00262027"/>
    <w:rsid w:val="00266C9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07EF3"/>
    <w:rsid w:val="00312F04"/>
    <w:rsid w:val="00323973"/>
    <w:rsid w:val="00325F32"/>
    <w:rsid w:val="00341C04"/>
    <w:rsid w:val="00347267"/>
    <w:rsid w:val="00352A6F"/>
    <w:rsid w:val="003607B8"/>
    <w:rsid w:val="003632D6"/>
    <w:rsid w:val="0037016C"/>
    <w:rsid w:val="00380B1E"/>
    <w:rsid w:val="00390582"/>
    <w:rsid w:val="003952AC"/>
    <w:rsid w:val="003A0C9A"/>
    <w:rsid w:val="003A1EE7"/>
    <w:rsid w:val="003B2F4C"/>
    <w:rsid w:val="003B5332"/>
    <w:rsid w:val="003B6B5A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1282F"/>
    <w:rsid w:val="004136A1"/>
    <w:rsid w:val="00420C43"/>
    <w:rsid w:val="00430535"/>
    <w:rsid w:val="00431B48"/>
    <w:rsid w:val="00435786"/>
    <w:rsid w:val="00435AC9"/>
    <w:rsid w:val="00435F09"/>
    <w:rsid w:val="00437DBB"/>
    <w:rsid w:val="004477FA"/>
    <w:rsid w:val="00451428"/>
    <w:rsid w:val="00457FFB"/>
    <w:rsid w:val="00463173"/>
    <w:rsid w:val="00463679"/>
    <w:rsid w:val="00470550"/>
    <w:rsid w:val="00481C99"/>
    <w:rsid w:val="004843F6"/>
    <w:rsid w:val="0048440A"/>
    <w:rsid w:val="00485E03"/>
    <w:rsid w:val="00491811"/>
    <w:rsid w:val="00494513"/>
    <w:rsid w:val="0049696E"/>
    <w:rsid w:val="004B5E90"/>
    <w:rsid w:val="004D03C0"/>
    <w:rsid w:val="004D30D8"/>
    <w:rsid w:val="004D47FB"/>
    <w:rsid w:val="004E0C6F"/>
    <w:rsid w:val="004E1CBF"/>
    <w:rsid w:val="004E6476"/>
    <w:rsid w:val="004F1632"/>
    <w:rsid w:val="004F1ACA"/>
    <w:rsid w:val="00503D25"/>
    <w:rsid w:val="0050739C"/>
    <w:rsid w:val="00507965"/>
    <w:rsid w:val="00516260"/>
    <w:rsid w:val="005245D0"/>
    <w:rsid w:val="00526E25"/>
    <w:rsid w:val="0053375F"/>
    <w:rsid w:val="00550306"/>
    <w:rsid w:val="00557F80"/>
    <w:rsid w:val="005608F8"/>
    <w:rsid w:val="00561867"/>
    <w:rsid w:val="005619F2"/>
    <w:rsid w:val="005656CB"/>
    <w:rsid w:val="00584F0C"/>
    <w:rsid w:val="005858BE"/>
    <w:rsid w:val="00591CE6"/>
    <w:rsid w:val="005944F0"/>
    <w:rsid w:val="005B3165"/>
    <w:rsid w:val="005B3388"/>
    <w:rsid w:val="005B46E3"/>
    <w:rsid w:val="005D2901"/>
    <w:rsid w:val="005D7407"/>
    <w:rsid w:val="005E731F"/>
    <w:rsid w:val="005F34F3"/>
    <w:rsid w:val="00601F68"/>
    <w:rsid w:val="006149D9"/>
    <w:rsid w:val="00614D8A"/>
    <w:rsid w:val="00615E22"/>
    <w:rsid w:val="00641BB8"/>
    <w:rsid w:val="00642B75"/>
    <w:rsid w:val="00657B7A"/>
    <w:rsid w:val="00666070"/>
    <w:rsid w:val="00667E44"/>
    <w:rsid w:val="00676456"/>
    <w:rsid w:val="006858D9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70408D"/>
    <w:rsid w:val="00706003"/>
    <w:rsid w:val="0071034A"/>
    <w:rsid w:val="007208FF"/>
    <w:rsid w:val="0072633C"/>
    <w:rsid w:val="007310B8"/>
    <w:rsid w:val="00741A65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5326C"/>
    <w:rsid w:val="00960D6C"/>
    <w:rsid w:val="00963150"/>
    <w:rsid w:val="00964EE6"/>
    <w:rsid w:val="00967408"/>
    <w:rsid w:val="009678AB"/>
    <w:rsid w:val="00991842"/>
    <w:rsid w:val="009957E6"/>
    <w:rsid w:val="00995FFB"/>
    <w:rsid w:val="009B0499"/>
    <w:rsid w:val="009B153F"/>
    <w:rsid w:val="009B6F6E"/>
    <w:rsid w:val="009C0A53"/>
    <w:rsid w:val="009C3CB4"/>
    <w:rsid w:val="009D1EAA"/>
    <w:rsid w:val="009D6662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9251D"/>
    <w:rsid w:val="00A92C39"/>
    <w:rsid w:val="00A948FE"/>
    <w:rsid w:val="00AA5759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865BB"/>
    <w:rsid w:val="00B909A9"/>
    <w:rsid w:val="00B91AB3"/>
    <w:rsid w:val="00B9482C"/>
    <w:rsid w:val="00B97594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57F68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B6B83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47B4C"/>
    <w:rsid w:val="00D5367C"/>
    <w:rsid w:val="00D70708"/>
    <w:rsid w:val="00D74718"/>
    <w:rsid w:val="00D754A1"/>
    <w:rsid w:val="00D77805"/>
    <w:rsid w:val="00D904C8"/>
    <w:rsid w:val="00D94645"/>
    <w:rsid w:val="00D959F5"/>
    <w:rsid w:val="00D963B6"/>
    <w:rsid w:val="00DA004A"/>
    <w:rsid w:val="00DA4D82"/>
    <w:rsid w:val="00DB2457"/>
    <w:rsid w:val="00DB5FBE"/>
    <w:rsid w:val="00DC7E84"/>
    <w:rsid w:val="00DD0D62"/>
    <w:rsid w:val="00DD1711"/>
    <w:rsid w:val="00DE045B"/>
    <w:rsid w:val="00DE54CC"/>
    <w:rsid w:val="00E07EC5"/>
    <w:rsid w:val="00E103A4"/>
    <w:rsid w:val="00E34F73"/>
    <w:rsid w:val="00E41310"/>
    <w:rsid w:val="00E50981"/>
    <w:rsid w:val="00E57D4C"/>
    <w:rsid w:val="00E6149A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C309B"/>
    <w:rsid w:val="00FC354C"/>
    <w:rsid w:val="00FD23D9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FB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7C5CA6"/>
    <w:rPr>
      <w:rFonts w:cs="Times New Roman"/>
    </w:rPr>
  </w:style>
  <w:style w:type="paragraph" w:styleId="a6">
    <w:name w:val="footer"/>
    <w:basedOn w:val="a"/>
    <w:link w:val="a7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7C5CA6"/>
    <w:rPr>
      <w:rFonts w:cs="Times New Roman"/>
    </w:rPr>
  </w:style>
  <w:style w:type="table" w:styleId="a8">
    <w:name w:val="Table Grid"/>
    <w:basedOn w:val="a1"/>
    <w:uiPriority w:val="99"/>
    <w:rsid w:val="00657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8B61E5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No Spacing"/>
    <w:link w:val="ab"/>
    <w:uiPriority w:val="99"/>
    <w:qFormat/>
    <w:rsid w:val="00156C3F"/>
    <w:rPr>
      <w:rFonts w:eastAsia="Times New Roman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156C3F"/>
    <w:rPr>
      <w:rFonts w:eastAsia="Times New Roman" w:cs="Times New Roman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8</cp:revision>
  <cp:lastPrinted>2017-06-12T13:46:00Z</cp:lastPrinted>
  <dcterms:created xsi:type="dcterms:W3CDTF">2019-03-05T12:10:00Z</dcterms:created>
  <dcterms:modified xsi:type="dcterms:W3CDTF">2019-03-20T07:07:00Z</dcterms:modified>
</cp:coreProperties>
</file>