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D9" w:rsidRPr="00E2214F" w:rsidRDefault="006858D9" w:rsidP="00550306">
      <w:pPr>
        <w:spacing w:after="120" w:line="240" w:lineRule="auto"/>
        <w:ind w:left="710"/>
        <w:jc w:val="right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4028FF">
        <w:rPr>
          <w:rFonts w:ascii="Times New Roman" w:hAnsi="Times New Roman"/>
          <w:b/>
          <w:sz w:val="28"/>
          <w:szCs w:val="28"/>
        </w:rPr>
        <w:t>Додаток</w:t>
      </w:r>
      <w:r w:rsidR="00E2214F">
        <w:rPr>
          <w:rFonts w:ascii="Times New Roman" w:hAnsi="Times New Roman"/>
          <w:b/>
          <w:sz w:val="28"/>
          <w:szCs w:val="28"/>
        </w:rPr>
        <w:t xml:space="preserve"> </w:t>
      </w:r>
      <w:r w:rsidR="00E2214F" w:rsidRPr="00C4546E">
        <w:rPr>
          <w:rFonts w:ascii="Times New Roman" w:hAnsi="Times New Roman"/>
          <w:b/>
          <w:sz w:val="28"/>
          <w:szCs w:val="28"/>
        </w:rPr>
        <w:t>4.18(8</w:t>
      </w:r>
      <w:r w:rsidR="00E2214F">
        <w:rPr>
          <w:rFonts w:ascii="Times New Roman" w:hAnsi="Times New Roman"/>
          <w:b/>
          <w:sz w:val="28"/>
          <w:szCs w:val="28"/>
        </w:rPr>
        <w:t>а)</w:t>
      </w:r>
    </w:p>
    <w:p w:rsidR="006858D9" w:rsidRDefault="006858D9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028FF" w:rsidRPr="004028FF" w:rsidRDefault="004028FF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028FF" w:rsidRPr="004028FF" w:rsidRDefault="004028FF" w:rsidP="004028FF">
      <w:pPr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4028FF">
        <w:rPr>
          <w:rFonts w:ascii="Times New Roman" w:hAnsi="Times New Roman"/>
          <w:b/>
          <w:sz w:val="28"/>
          <w:szCs w:val="28"/>
        </w:rPr>
        <w:tab/>
      </w:r>
      <w:r w:rsidRPr="004028FF">
        <w:rPr>
          <w:rFonts w:ascii="Times New Roman" w:hAnsi="Times New Roman"/>
          <w:b/>
          <w:sz w:val="28"/>
          <w:szCs w:val="28"/>
        </w:rPr>
        <w:tab/>
        <w:t xml:space="preserve">Експлуатаційний вантажообіг брутто у пасажирському русі </w:t>
      </w:r>
      <w:r w:rsidR="00BD634A">
        <w:rPr>
          <w:rFonts w:ascii="Times New Roman" w:hAnsi="Times New Roman"/>
          <w:b/>
          <w:sz w:val="28"/>
          <w:szCs w:val="28"/>
        </w:rPr>
        <w:t xml:space="preserve"> </w:t>
      </w:r>
      <w:r w:rsidRPr="004028FF">
        <w:rPr>
          <w:rFonts w:ascii="Times New Roman" w:hAnsi="Times New Roman"/>
          <w:sz w:val="28"/>
          <w:szCs w:val="28"/>
        </w:rPr>
        <w:t>у 201</w:t>
      </w:r>
      <w:r>
        <w:rPr>
          <w:rFonts w:ascii="Times New Roman" w:hAnsi="Times New Roman"/>
          <w:sz w:val="28"/>
          <w:szCs w:val="28"/>
        </w:rPr>
        <w:t>8</w:t>
      </w:r>
      <w:r w:rsidRPr="004028FF">
        <w:rPr>
          <w:rFonts w:ascii="Times New Roman" w:hAnsi="Times New Roman"/>
          <w:sz w:val="28"/>
          <w:szCs w:val="28"/>
        </w:rPr>
        <w:t xml:space="preserve"> році  склав </w:t>
      </w:r>
      <w:r w:rsidR="004C326F">
        <w:rPr>
          <w:rFonts w:ascii="Times New Roman" w:hAnsi="Times New Roman"/>
          <w:sz w:val="28"/>
          <w:szCs w:val="28"/>
        </w:rPr>
        <w:t>38,7</w:t>
      </w:r>
      <w:r w:rsidRPr="004028FF">
        <w:rPr>
          <w:rFonts w:ascii="Times New Roman" w:hAnsi="Times New Roman"/>
          <w:sz w:val="28"/>
          <w:szCs w:val="28"/>
        </w:rPr>
        <w:t xml:space="preserve"> млрд. т-км брутто.</w:t>
      </w:r>
    </w:p>
    <w:p w:rsidR="004028FF" w:rsidRPr="004028FF" w:rsidRDefault="004028FF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028FF">
        <w:rPr>
          <w:rFonts w:ascii="Times New Roman" w:hAnsi="Times New Roman"/>
          <w:sz w:val="28"/>
          <w:szCs w:val="28"/>
        </w:rPr>
        <w:tab/>
        <w:t xml:space="preserve">  З  таблиці  видно розподіл сумарної довжини Дільниць  в залежності від обсягів перевезень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384"/>
        <w:gridCol w:w="1178"/>
        <w:gridCol w:w="1030"/>
        <w:gridCol w:w="1842"/>
        <w:gridCol w:w="1401"/>
      </w:tblGrid>
      <w:tr w:rsidR="006858D9" w:rsidRPr="004028FF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6858D9" w:rsidRPr="004028FF" w:rsidRDefault="006858D9" w:rsidP="00FC41D4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4843F6" w:rsidRPr="004028FF">
              <w:rPr>
                <w:rFonts w:ascii="Times New Roman" w:hAnsi="Times New Roman"/>
                <w:b/>
                <w:sz w:val="28"/>
                <w:szCs w:val="28"/>
              </w:rPr>
              <w:t>бру</w:t>
            </w: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тто у </w:t>
            </w:r>
            <w:r w:rsidR="004843F6"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пасажирському </w:t>
            </w: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 русі  </w:t>
            </w:r>
            <w:r w:rsidR="00FC41D4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тис. т-км </w:t>
            </w:r>
            <w:r w:rsidR="000F51C3" w:rsidRPr="004028FF">
              <w:rPr>
                <w:rFonts w:ascii="Times New Roman" w:hAnsi="Times New Roman"/>
                <w:b/>
                <w:sz w:val="28"/>
                <w:szCs w:val="28"/>
              </w:rPr>
              <w:t>брут</w:t>
            </w: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то)</w:t>
            </w:r>
            <w:r w:rsidR="00FC41D4">
              <w:rPr>
                <w:rFonts w:ascii="Times New Roman" w:hAnsi="Times New Roman"/>
                <w:b/>
                <w:sz w:val="28"/>
                <w:szCs w:val="28"/>
              </w:rPr>
              <w:t xml:space="preserve"> розподілений по діапазонам.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6858D9" w:rsidRPr="004028FF" w:rsidRDefault="006858D9" w:rsidP="00352A6F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Розподіл сумарної довжини Дільниць в залежності від роботи 201</w:t>
            </w:r>
            <w:r w:rsidR="00352A6F" w:rsidRPr="004028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6858D9" w:rsidRPr="004028FF" w:rsidTr="00DA4D82">
        <w:trPr>
          <w:trHeight w:val="1214"/>
          <w:jc w:val="center"/>
        </w:trPr>
        <w:tc>
          <w:tcPr>
            <w:tcW w:w="4384" w:type="dxa"/>
            <w:vMerge/>
            <w:vAlign w:val="center"/>
          </w:tcPr>
          <w:p w:rsidR="006858D9" w:rsidRPr="004028FF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6858D9" w:rsidRPr="004028FF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6858D9" w:rsidRPr="004028FF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</w:p>
          <w:p w:rsidR="006858D9" w:rsidRPr="004028FF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6858D9" w:rsidRPr="004028FF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6858D9" w:rsidRPr="004028FF" w:rsidRDefault="006858D9" w:rsidP="00E5098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352A6F" w:rsidRPr="004028FF" w:rsidTr="00506B1D">
        <w:trPr>
          <w:trHeight w:val="302"/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до 5 000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6 599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6 504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6552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5 000 - 10 000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1 539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1 639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1589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10 000 - 50 000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4 326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4 324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4325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50 000 - 100 000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2 135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2 163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2149</w:t>
            </w:r>
          </w:p>
        </w:tc>
        <w:tc>
          <w:tcPr>
            <w:tcW w:w="1309" w:type="dxa"/>
          </w:tcPr>
          <w:p w:rsidR="00352A6F" w:rsidRPr="00C4546E" w:rsidRDefault="00C4546E" w:rsidP="00352A6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100 000 - 200 000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2 692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2 780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2736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13,7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200 000 - 300 000</w:t>
            </w:r>
            <w:bookmarkStart w:id="0" w:name="_GoBack"/>
            <w:bookmarkEnd w:id="0"/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1 499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1 387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1443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300 000 - 400 000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400 000 - 500 000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500 000 - 600 000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600 000 - 700 000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352A6F" w:rsidRPr="004028FF" w:rsidTr="00506B1D">
        <w:trPr>
          <w:jc w:val="center"/>
        </w:trPr>
        <w:tc>
          <w:tcPr>
            <w:tcW w:w="4384" w:type="dxa"/>
          </w:tcPr>
          <w:p w:rsidR="00352A6F" w:rsidRPr="004028FF" w:rsidRDefault="00352A6F" w:rsidP="0035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понад  700 000</w:t>
            </w:r>
          </w:p>
        </w:tc>
        <w:tc>
          <w:tcPr>
            <w:tcW w:w="1178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D6E3BC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</w:tcPr>
          <w:p w:rsidR="00352A6F" w:rsidRPr="004028FF" w:rsidRDefault="00352A6F" w:rsidP="00352A6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153F" w:rsidRPr="004028FF" w:rsidTr="00DA4D82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9B153F" w:rsidRPr="004028FF" w:rsidRDefault="009B153F" w:rsidP="009B153F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28FF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9B153F" w:rsidRPr="004028FF" w:rsidRDefault="009B153F" w:rsidP="009B153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9B153F" w:rsidRPr="004028FF" w:rsidRDefault="009B153F" w:rsidP="009B153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9B153F" w:rsidRPr="004028FF" w:rsidRDefault="009B153F" w:rsidP="009B153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</w:tcPr>
          <w:p w:rsidR="009B153F" w:rsidRPr="004028FF" w:rsidRDefault="009B153F" w:rsidP="009B153F">
            <w:pPr>
              <w:rPr>
                <w:rFonts w:ascii="Times New Roman" w:hAnsi="Times New Roman"/>
                <w:sz w:val="28"/>
                <w:szCs w:val="28"/>
              </w:rPr>
            </w:pPr>
            <w:r w:rsidRPr="004028FF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056F5D" w:rsidRPr="004028FF" w:rsidRDefault="004843F6" w:rsidP="001A5DAE">
      <w:pPr>
        <w:spacing w:after="120" w:line="240" w:lineRule="auto"/>
        <w:contextualSpacing/>
        <w:jc w:val="both"/>
        <w:rPr>
          <w:rFonts w:ascii="Times New Roman" w:hAnsi="Times New Roman"/>
          <w:color w:val="00B050"/>
          <w:sz w:val="28"/>
          <w:szCs w:val="28"/>
        </w:rPr>
      </w:pPr>
      <w:r w:rsidRPr="004028FF">
        <w:rPr>
          <w:rFonts w:ascii="Times New Roman" w:hAnsi="Times New Roman"/>
          <w:sz w:val="28"/>
          <w:szCs w:val="28"/>
        </w:rPr>
        <w:tab/>
      </w:r>
    </w:p>
    <w:p w:rsidR="006858D9" w:rsidRPr="004028FF" w:rsidRDefault="00056F5D" w:rsidP="004028FF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28FF">
        <w:rPr>
          <w:rFonts w:ascii="Times New Roman" w:hAnsi="Times New Roman"/>
          <w:color w:val="00B050"/>
          <w:sz w:val="28"/>
          <w:szCs w:val="28"/>
        </w:rPr>
        <w:tab/>
      </w:r>
    </w:p>
    <w:p w:rsidR="004028FF" w:rsidRPr="004028FF" w:rsidRDefault="004028FF" w:rsidP="004028FF">
      <w:pPr>
        <w:spacing w:after="120" w:line="240" w:lineRule="auto"/>
        <w:contextualSpacing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4028FF" w:rsidRPr="004028FF" w:rsidRDefault="004028FF" w:rsidP="004028FF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4028FF">
        <w:rPr>
          <w:rFonts w:ascii="Times New Roman" w:hAnsi="Times New Roman"/>
          <w:sz w:val="28"/>
          <w:szCs w:val="28"/>
        </w:rPr>
        <w:tab/>
        <w:t xml:space="preserve"> На  </w:t>
      </w:r>
      <w:r w:rsidR="00C4546E">
        <w:rPr>
          <w:rFonts w:ascii="Times New Roman" w:hAnsi="Times New Roman"/>
          <w:sz w:val="28"/>
          <w:szCs w:val="28"/>
        </w:rPr>
        <w:t>12466</w:t>
      </w:r>
      <w:r w:rsidR="00C4546E" w:rsidRPr="00C4546E">
        <w:rPr>
          <w:rFonts w:ascii="Times New Roman" w:hAnsi="Times New Roman"/>
          <w:sz w:val="28"/>
          <w:szCs w:val="28"/>
        </w:rPr>
        <w:t xml:space="preserve"> </w:t>
      </w:r>
      <w:r w:rsidRPr="004028FF">
        <w:rPr>
          <w:rFonts w:ascii="Times New Roman" w:hAnsi="Times New Roman"/>
          <w:sz w:val="28"/>
          <w:szCs w:val="28"/>
        </w:rPr>
        <w:t xml:space="preserve"> км  Дільниць    (6</w:t>
      </w:r>
      <w:r w:rsidR="00FC41D4">
        <w:rPr>
          <w:rFonts w:ascii="Times New Roman" w:hAnsi="Times New Roman"/>
          <w:sz w:val="28"/>
          <w:szCs w:val="28"/>
        </w:rPr>
        <w:t>2</w:t>
      </w:r>
      <w:r w:rsidRPr="004028FF">
        <w:rPr>
          <w:rFonts w:ascii="Times New Roman" w:hAnsi="Times New Roman"/>
          <w:sz w:val="28"/>
          <w:szCs w:val="28"/>
        </w:rPr>
        <w:t>,</w:t>
      </w:r>
      <w:r w:rsidR="00FC41D4">
        <w:rPr>
          <w:rFonts w:ascii="Times New Roman" w:hAnsi="Times New Roman"/>
          <w:sz w:val="28"/>
          <w:szCs w:val="28"/>
        </w:rPr>
        <w:t>4</w:t>
      </w:r>
      <w:r w:rsidRPr="004028FF">
        <w:rPr>
          <w:rFonts w:ascii="Times New Roman" w:hAnsi="Times New Roman"/>
          <w:sz w:val="28"/>
          <w:szCs w:val="28"/>
        </w:rPr>
        <w:t>% від загальної довжини )  виконано 2</w:t>
      </w:r>
      <w:r w:rsidR="004C326F">
        <w:rPr>
          <w:rFonts w:ascii="Times New Roman" w:hAnsi="Times New Roman"/>
          <w:sz w:val="28"/>
          <w:szCs w:val="28"/>
        </w:rPr>
        <w:t>4,1</w:t>
      </w:r>
      <w:r w:rsidRPr="004028FF">
        <w:rPr>
          <w:rFonts w:ascii="Times New Roman" w:hAnsi="Times New Roman"/>
          <w:sz w:val="28"/>
          <w:szCs w:val="28"/>
        </w:rPr>
        <w:t xml:space="preserve"> млрд  т-км брутто,  які припадають  на діапазон  </w:t>
      </w:r>
      <w:r w:rsidR="00FC41D4">
        <w:rPr>
          <w:rFonts w:ascii="Times New Roman" w:hAnsi="Times New Roman"/>
          <w:sz w:val="28"/>
          <w:szCs w:val="28"/>
        </w:rPr>
        <w:t>з</w:t>
      </w:r>
      <w:r w:rsidRPr="004028FF">
        <w:rPr>
          <w:rFonts w:ascii="Times New Roman" w:hAnsi="Times New Roman"/>
          <w:sz w:val="28"/>
          <w:szCs w:val="28"/>
        </w:rPr>
        <w:t xml:space="preserve"> </w:t>
      </w:r>
      <w:r w:rsidR="00FC41D4">
        <w:rPr>
          <w:rFonts w:ascii="Times New Roman" w:hAnsi="Times New Roman"/>
          <w:sz w:val="28"/>
          <w:szCs w:val="28"/>
        </w:rPr>
        <w:t xml:space="preserve"> до </w:t>
      </w:r>
      <w:r w:rsidRPr="004028FF">
        <w:rPr>
          <w:rFonts w:ascii="Times New Roman" w:hAnsi="Times New Roman"/>
          <w:sz w:val="28"/>
          <w:szCs w:val="28"/>
        </w:rPr>
        <w:t xml:space="preserve"> 5 </w:t>
      </w:r>
      <w:r w:rsidR="00FC41D4">
        <w:rPr>
          <w:rFonts w:ascii="Times New Roman" w:hAnsi="Times New Roman"/>
          <w:sz w:val="28"/>
          <w:szCs w:val="28"/>
        </w:rPr>
        <w:t xml:space="preserve"> - </w:t>
      </w:r>
      <w:r w:rsidRPr="004028FF">
        <w:rPr>
          <w:rFonts w:ascii="Times New Roman" w:hAnsi="Times New Roman"/>
          <w:sz w:val="28"/>
          <w:szCs w:val="28"/>
        </w:rPr>
        <w:t>50 млн т-км брутто.</w:t>
      </w:r>
    </w:p>
    <w:p w:rsidR="004028FF" w:rsidRPr="004028FF" w:rsidRDefault="004028FF" w:rsidP="004028FF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4028FF">
        <w:rPr>
          <w:rFonts w:ascii="Times New Roman" w:hAnsi="Times New Roman"/>
          <w:sz w:val="28"/>
          <w:szCs w:val="28"/>
        </w:rPr>
        <w:tab/>
        <w:t xml:space="preserve"> На  </w:t>
      </w:r>
      <w:r w:rsidR="00FC41D4">
        <w:rPr>
          <w:rFonts w:ascii="Times New Roman" w:hAnsi="Times New Roman"/>
          <w:sz w:val="28"/>
          <w:szCs w:val="28"/>
        </w:rPr>
        <w:t>7321</w:t>
      </w:r>
      <w:r w:rsidRPr="004028FF">
        <w:rPr>
          <w:rFonts w:ascii="Times New Roman" w:hAnsi="Times New Roman"/>
          <w:sz w:val="28"/>
          <w:szCs w:val="28"/>
        </w:rPr>
        <w:t xml:space="preserve"> км Дільниць</w:t>
      </w:r>
      <w:r w:rsidRPr="004028FF">
        <w:rPr>
          <w:rFonts w:ascii="Times New Roman" w:hAnsi="Times New Roman"/>
          <w:sz w:val="28"/>
          <w:szCs w:val="28"/>
        </w:rPr>
        <w:tab/>
        <w:t>(3</w:t>
      </w:r>
      <w:r w:rsidR="00FC41D4">
        <w:rPr>
          <w:rFonts w:ascii="Times New Roman" w:hAnsi="Times New Roman"/>
          <w:sz w:val="28"/>
          <w:szCs w:val="28"/>
        </w:rPr>
        <w:t>6</w:t>
      </w:r>
      <w:r w:rsidRPr="004028FF">
        <w:rPr>
          <w:rFonts w:ascii="Times New Roman" w:hAnsi="Times New Roman"/>
          <w:sz w:val="28"/>
          <w:szCs w:val="28"/>
        </w:rPr>
        <w:t>,</w:t>
      </w:r>
      <w:r w:rsidR="00FC41D4">
        <w:rPr>
          <w:rFonts w:ascii="Times New Roman" w:hAnsi="Times New Roman"/>
          <w:sz w:val="28"/>
          <w:szCs w:val="28"/>
        </w:rPr>
        <w:t>6</w:t>
      </w:r>
      <w:r w:rsidRPr="004028FF">
        <w:rPr>
          <w:rFonts w:ascii="Times New Roman" w:hAnsi="Times New Roman"/>
          <w:sz w:val="28"/>
          <w:szCs w:val="28"/>
        </w:rPr>
        <w:t>%   від загальної довжини)  виконано 1</w:t>
      </w:r>
      <w:r w:rsidR="004C326F">
        <w:rPr>
          <w:rFonts w:ascii="Times New Roman" w:hAnsi="Times New Roman"/>
          <w:sz w:val="28"/>
          <w:szCs w:val="28"/>
        </w:rPr>
        <w:t>4,2</w:t>
      </w:r>
      <w:r w:rsidRPr="004028FF">
        <w:rPr>
          <w:rFonts w:ascii="Times New Roman" w:hAnsi="Times New Roman"/>
          <w:sz w:val="28"/>
          <w:szCs w:val="28"/>
        </w:rPr>
        <w:t xml:space="preserve"> млрд  т-км  брутто роботи , яка припадає на діапазон   від 50  млн. до  500 млн  т-км брутто включно.</w:t>
      </w:r>
    </w:p>
    <w:p w:rsidR="004028FF" w:rsidRPr="004028FF" w:rsidRDefault="004028FF" w:rsidP="004028FF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4028FF">
        <w:rPr>
          <w:rFonts w:ascii="Times New Roman" w:hAnsi="Times New Roman"/>
          <w:sz w:val="28"/>
          <w:szCs w:val="28"/>
        </w:rPr>
        <w:tab/>
        <w:t xml:space="preserve"> На   </w:t>
      </w:r>
      <w:r w:rsidR="00FC41D4">
        <w:rPr>
          <w:rFonts w:ascii="Times New Roman" w:hAnsi="Times New Roman"/>
          <w:sz w:val="28"/>
          <w:szCs w:val="28"/>
        </w:rPr>
        <w:t>192</w:t>
      </w:r>
      <w:r w:rsidRPr="004028FF">
        <w:rPr>
          <w:rFonts w:ascii="Times New Roman" w:hAnsi="Times New Roman"/>
          <w:sz w:val="28"/>
          <w:szCs w:val="28"/>
        </w:rPr>
        <w:t xml:space="preserve"> км  Дільниць   (1</w:t>
      </w:r>
      <w:r w:rsidR="00FC41D4">
        <w:rPr>
          <w:rFonts w:ascii="Times New Roman" w:hAnsi="Times New Roman"/>
          <w:sz w:val="28"/>
          <w:szCs w:val="28"/>
        </w:rPr>
        <w:t>,0</w:t>
      </w:r>
      <w:r w:rsidRPr="004028FF">
        <w:rPr>
          <w:rFonts w:ascii="Times New Roman" w:hAnsi="Times New Roman"/>
          <w:sz w:val="28"/>
          <w:szCs w:val="28"/>
        </w:rPr>
        <w:t>%  від загальної довжини)   виконано 0,</w:t>
      </w:r>
      <w:r w:rsidR="00FC41D4">
        <w:rPr>
          <w:rFonts w:ascii="Times New Roman" w:hAnsi="Times New Roman"/>
          <w:sz w:val="28"/>
          <w:szCs w:val="28"/>
        </w:rPr>
        <w:t>4</w:t>
      </w:r>
      <w:r w:rsidRPr="004028FF">
        <w:rPr>
          <w:rFonts w:ascii="Times New Roman" w:hAnsi="Times New Roman"/>
          <w:sz w:val="28"/>
          <w:szCs w:val="28"/>
        </w:rPr>
        <w:t xml:space="preserve"> млрд  т-км брутто роботи, яка  припадає на  діапазон  від  500 до 700 млн т-км брутто.</w:t>
      </w:r>
    </w:p>
    <w:p w:rsidR="004028FF" w:rsidRPr="004028FF" w:rsidRDefault="004028FF" w:rsidP="004028FF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53F" w:rsidRPr="004028FF" w:rsidRDefault="009B153F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9B153F" w:rsidRPr="004028FF" w:rsidSect="00550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89" w:rsidRDefault="006D1289" w:rsidP="007C5CA6">
      <w:pPr>
        <w:spacing w:after="0" w:line="240" w:lineRule="auto"/>
      </w:pPr>
      <w:r>
        <w:separator/>
      </w:r>
    </w:p>
  </w:endnote>
  <w:endnote w:type="continuationSeparator" w:id="0">
    <w:p w:rsidR="006D1289" w:rsidRDefault="006D1289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89" w:rsidRDefault="006D1289" w:rsidP="007C5CA6">
      <w:pPr>
        <w:spacing w:after="0" w:line="240" w:lineRule="auto"/>
      </w:pPr>
      <w:r>
        <w:separator/>
      </w:r>
    </w:p>
  </w:footnote>
  <w:footnote w:type="continuationSeparator" w:id="0">
    <w:p w:rsidR="006D1289" w:rsidRDefault="006D1289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  <w:p w:rsidR="006858D9" w:rsidRDefault="006858D9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56F5D"/>
    <w:rsid w:val="00080B16"/>
    <w:rsid w:val="00083F5C"/>
    <w:rsid w:val="00084233"/>
    <w:rsid w:val="00090A35"/>
    <w:rsid w:val="00091A36"/>
    <w:rsid w:val="000958D5"/>
    <w:rsid w:val="000A17BB"/>
    <w:rsid w:val="000B315E"/>
    <w:rsid w:val="000C406B"/>
    <w:rsid w:val="000D1521"/>
    <w:rsid w:val="000F15B2"/>
    <w:rsid w:val="000F37A3"/>
    <w:rsid w:val="000F51C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77FCB"/>
    <w:rsid w:val="00180622"/>
    <w:rsid w:val="001A5DAE"/>
    <w:rsid w:val="001A7F34"/>
    <w:rsid w:val="001B58B3"/>
    <w:rsid w:val="001E6EFF"/>
    <w:rsid w:val="001F1BB6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66C9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2A6F"/>
    <w:rsid w:val="003607B8"/>
    <w:rsid w:val="003632D6"/>
    <w:rsid w:val="0037016C"/>
    <w:rsid w:val="00380B1E"/>
    <w:rsid w:val="00390582"/>
    <w:rsid w:val="003952AC"/>
    <w:rsid w:val="003A0C9A"/>
    <w:rsid w:val="003A1EE7"/>
    <w:rsid w:val="003B2F4C"/>
    <w:rsid w:val="003B5332"/>
    <w:rsid w:val="003B6B5A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8FF"/>
    <w:rsid w:val="0040709C"/>
    <w:rsid w:val="0041282F"/>
    <w:rsid w:val="004136A1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3F6"/>
    <w:rsid w:val="0048440A"/>
    <w:rsid w:val="00485E03"/>
    <w:rsid w:val="00491811"/>
    <w:rsid w:val="00494513"/>
    <w:rsid w:val="0049696E"/>
    <w:rsid w:val="004B5E90"/>
    <w:rsid w:val="004C326F"/>
    <w:rsid w:val="004D03C0"/>
    <w:rsid w:val="004D30D8"/>
    <w:rsid w:val="004D47FB"/>
    <w:rsid w:val="004E0C6F"/>
    <w:rsid w:val="004E1CBF"/>
    <w:rsid w:val="004E6476"/>
    <w:rsid w:val="004F1ACA"/>
    <w:rsid w:val="00503D25"/>
    <w:rsid w:val="00506B1D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80978"/>
    <w:rsid w:val="006858D9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289"/>
    <w:rsid w:val="006D14CE"/>
    <w:rsid w:val="006D186C"/>
    <w:rsid w:val="006E0AAD"/>
    <w:rsid w:val="006E0B8C"/>
    <w:rsid w:val="006E0E76"/>
    <w:rsid w:val="006E1A7B"/>
    <w:rsid w:val="006E5377"/>
    <w:rsid w:val="0070677A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153F"/>
    <w:rsid w:val="009B6F6E"/>
    <w:rsid w:val="009C0A53"/>
    <w:rsid w:val="009C3CB4"/>
    <w:rsid w:val="009D1EAA"/>
    <w:rsid w:val="009D6662"/>
    <w:rsid w:val="009F172C"/>
    <w:rsid w:val="009F28BB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205F"/>
    <w:rsid w:val="00B63B16"/>
    <w:rsid w:val="00B65CE3"/>
    <w:rsid w:val="00B865BB"/>
    <w:rsid w:val="00B909A9"/>
    <w:rsid w:val="00B91AB3"/>
    <w:rsid w:val="00B9482C"/>
    <w:rsid w:val="00B97594"/>
    <w:rsid w:val="00BA3811"/>
    <w:rsid w:val="00BA49EA"/>
    <w:rsid w:val="00BA51F2"/>
    <w:rsid w:val="00BB3D1D"/>
    <w:rsid w:val="00BC3886"/>
    <w:rsid w:val="00BC612F"/>
    <w:rsid w:val="00BD05A7"/>
    <w:rsid w:val="00BD1B64"/>
    <w:rsid w:val="00BD634A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4546E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4718"/>
    <w:rsid w:val="00D754A1"/>
    <w:rsid w:val="00D77805"/>
    <w:rsid w:val="00D904C8"/>
    <w:rsid w:val="00D94645"/>
    <w:rsid w:val="00D959F5"/>
    <w:rsid w:val="00D963B6"/>
    <w:rsid w:val="00DA004A"/>
    <w:rsid w:val="00DA4D82"/>
    <w:rsid w:val="00DB2457"/>
    <w:rsid w:val="00DB5FBE"/>
    <w:rsid w:val="00DC7E84"/>
    <w:rsid w:val="00DD0D62"/>
    <w:rsid w:val="00DD1711"/>
    <w:rsid w:val="00DE045B"/>
    <w:rsid w:val="00DE54CC"/>
    <w:rsid w:val="00E07EC5"/>
    <w:rsid w:val="00E103A4"/>
    <w:rsid w:val="00E2214F"/>
    <w:rsid w:val="00E34F73"/>
    <w:rsid w:val="00E41310"/>
    <w:rsid w:val="00E50981"/>
    <w:rsid w:val="00E57D4C"/>
    <w:rsid w:val="00E6149A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C41D4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F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C5CA6"/>
    <w:rPr>
      <w:rFonts w:cs="Times New Roman"/>
    </w:rPr>
  </w:style>
  <w:style w:type="paragraph" w:styleId="a6">
    <w:name w:val="footer"/>
    <w:basedOn w:val="a"/>
    <w:link w:val="a7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C5CA6"/>
    <w:rPr>
      <w:rFonts w:cs="Times New Roman"/>
    </w:rPr>
  </w:style>
  <w:style w:type="table" w:styleId="a8">
    <w:name w:val="Table Grid"/>
    <w:basedOn w:val="a1"/>
    <w:uiPriority w:val="99"/>
    <w:rsid w:val="0065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61E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link w:val="ab"/>
    <w:uiPriority w:val="99"/>
    <w:qFormat/>
    <w:rsid w:val="00156C3F"/>
    <w:rPr>
      <w:rFonts w:eastAsia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156C3F"/>
    <w:rPr>
      <w:rFonts w:eastAsia="Times New Roman" w:cs="Times New Roman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7</cp:revision>
  <cp:lastPrinted>2017-06-12T13:46:00Z</cp:lastPrinted>
  <dcterms:created xsi:type="dcterms:W3CDTF">2019-03-05T12:03:00Z</dcterms:created>
  <dcterms:modified xsi:type="dcterms:W3CDTF">2019-03-20T07:03:00Z</dcterms:modified>
</cp:coreProperties>
</file>