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0A" w:rsidRDefault="002C4A0A" w:rsidP="002C4A0A">
      <w:pPr>
        <w:shd w:val="clear" w:color="auto" w:fill="FFFFFF"/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</w:pP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Україна</w:t>
      </w:r>
      <w:r w:rsidRPr="002C4A0A">
        <w:rPr>
          <w:rFonts w:ascii="Helvetica" w:eastAsia="Times New Roman" w:hAnsi="Helvetica" w:cs="Helvetica"/>
          <w:color w:val="1F509A"/>
          <w:kern w:val="36"/>
          <w:sz w:val="33"/>
          <w:szCs w:val="33"/>
          <w:lang w:eastAsia="en-GB"/>
        </w:rPr>
        <w:t xml:space="preserve">: </w:t>
      </w: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Електрифікація залізничн</w:t>
      </w:r>
      <w:r w:rsidR="00D04462"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ої</w:t>
      </w: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 xml:space="preserve"> ліні</w:t>
      </w:r>
      <w:r w:rsidR="00D04462"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ї</w:t>
      </w: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 xml:space="preserve"> на ділянці </w:t>
      </w:r>
      <w:proofErr w:type="spellStart"/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Долинська</w:t>
      </w:r>
      <w:proofErr w:type="spellEnd"/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 xml:space="preserve"> – Миколаїв (1 Фаза) </w:t>
      </w:r>
    </w:p>
    <w:tbl>
      <w:tblPr>
        <w:tblW w:w="4042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4678"/>
      </w:tblGrid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Назва проєкту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Електрифікація </w:t>
            </w:r>
            <w:r>
              <w:rPr>
                <w:rFonts w:ascii="inherit" w:eastAsia="Times New Roman" w:hAnsi="inherit" w:cs="Arial" w:hint="eastAsia"/>
                <w:color w:val="222222"/>
                <w:sz w:val="20"/>
                <w:szCs w:val="20"/>
                <w:lang w:val="uk-UA" w:eastAsia="en-GB"/>
              </w:rPr>
              <w:t>залізничних</w:t>
            </w: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</w:t>
            </w:r>
            <w:r>
              <w:rPr>
                <w:rFonts w:ascii="inherit" w:eastAsia="Times New Roman" w:hAnsi="inherit" w:cs="Arial" w:hint="eastAsia"/>
                <w:color w:val="222222"/>
                <w:sz w:val="20"/>
                <w:szCs w:val="20"/>
                <w:lang w:val="uk-UA" w:eastAsia="en-GB"/>
              </w:rPr>
              <w:t>ліній</w:t>
            </w: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України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Номер проєкту ЄБРР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2C4A0A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2C4A0A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45782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Країна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Україна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Назва клієнта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083E72">
              <w:rPr>
                <w:rFonts w:ascii="inherit" w:eastAsia="Times New Roman" w:hAnsi="inherit" w:cs="Times New Roman"/>
                <w:color w:val="222222"/>
                <w:sz w:val="20"/>
                <w:szCs w:val="20"/>
                <w:lang w:val="uk-UA" w:eastAsia="ru-RU"/>
              </w:rPr>
              <w:t>АКЦІОНЕРНЕ ТОВАРИСТВО «УКРАЇНСЬКА ЗАЛІЗНИЦЯ»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ru-RU" w:eastAsia="en-GB"/>
              </w:rPr>
            </w:pPr>
            <w:r w:rsidRPr="0033406B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uk-UA" w:eastAsia="ru-RU"/>
              </w:rPr>
              <w:t>Ідентифікаційний номер тендерної процедури ECEPP</w:t>
            </w:r>
            <w:r w:rsidR="002C4A0A" w:rsidRPr="00D04462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ru-RU"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2C4A0A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2C4A0A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8176907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A33893" w:rsidP="00606E24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Назва закупів</w:t>
            </w:r>
            <w:r w:rsidR="00606E24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лі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D04462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Електрифікація залізничної лінії на ділянці </w:t>
            </w:r>
            <w:proofErr w:type="spellStart"/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Долинська</w:t>
            </w:r>
            <w:proofErr w:type="spellEnd"/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– Миколаїв (1 Фаза) 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A33893" w:rsidP="00606E24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Опис закупів</w:t>
            </w:r>
            <w:r w:rsidR="00606E24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лі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A33893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Електрифікація залізничної лінії на ділянці </w:t>
            </w:r>
            <w:proofErr w:type="spellStart"/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Долинська</w:t>
            </w:r>
            <w:proofErr w:type="spellEnd"/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– Миколаїв (1 Фаза)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606E24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uk-UA" w:eastAsia="ru-RU"/>
              </w:rPr>
              <w:t>Тип закупів</w:t>
            </w:r>
            <w:r w:rsidR="00606E24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uk-UA" w:eastAsia="ru-RU"/>
              </w:rPr>
              <w:t>лі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Роботи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ru-RU" w:eastAsia="en-GB"/>
              </w:rPr>
            </w:pPr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Метод </w:t>
            </w:r>
            <w:proofErr w:type="spellStart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закупі</w:t>
            </w:r>
            <w:proofErr w:type="gramStart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вл</w:t>
            </w:r>
            <w:proofErr w:type="gramEnd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і</w:t>
            </w:r>
            <w:proofErr w:type="spellEnd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в рамках </w:t>
            </w:r>
            <w:proofErr w:type="spellStart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тендерної</w:t>
            </w:r>
            <w:proofErr w:type="spellEnd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04462"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процедури</w:t>
            </w:r>
            <w:proofErr w:type="spellEnd"/>
            <w:r w:rsidR="002C4A0A" w:rsidRPr="00D04462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ru-RU"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Times New Roman"/>
                <w:color w:val="222222"/>
                <w:sz w:val="20"/>
                <w:szCs w:val="20"/>
                <w:lang w:val="uk-UA" w:eastAsia="ru-RU"/>
              </w:rPr>
              <w:t>Відкритий одноетапний тендер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Галузь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Транспорт 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Тип повідомлення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ru-RU" w:eastAsia="en-GB"/>
              </w:rPr>
            </w:pPr>
            <w:r>
              <w:rPr>
                <w:rFonts w:ascii="inherit" w:eastAsia="Times New Roman" w:hAnsi="inherit" w:cs="Times New Roman"/>
                <w:color w:val="222222"/>
                <w:sz w:val="20"/>
                <w:szCs w:val="20"/>
                <w:lang w:val="uk-UA" w:eastAsia="ru-RU"/>
              </w:rPr>
              <w:t>Запрошення до участі в одноетапному тендері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Дата та час публікації</w:t>
            </w:r>
            <w:r w:rsidR="002C4A0A" w:rsidRPr="002C4A0A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2C4A0A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2C4A0A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30/01/2020 14:11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ru-RU"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uk-UA" w:eastAsia="ru-RU"/>
              </w:rPr>
              <w:t>Дата та час початку тендерної процедури</w:t>
            </w:r>
            <w:r w:rsidR="002C4A0A" w:rsidRPr="00D04462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ru-RU"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2C4A0A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2C4A0A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30/01/2020 13:45</w:t>
            </w:r>
          </w:p>
        </w:tc>
      </w:tr>
      <w:tr w:rsidR="002C4A0A" w:rsidRPr="002C4A0A" w:rsidTr="000A10B9">
        <w:tc>
          <w:tcPr>
            <w:tcW w:w="2003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D04462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ru-RU"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222222"/>
                <w:sz w:val="20"/>
                <w:szCs w:val="20"/>
                <w:lang w:val="uk-UA" w:eastAsia="ru-RU"/>
              </w:rPr>
              <w:t>Кінцева дата та час подання тендерних пропозицій</w:t>
            </w:r>
            <w:r w:rsidR="002C4A0A" w:rsidRPr="00D04462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ru-RU" w:eastAsia="en-GB"/>
              </w:rPr>
              <w:t>:</w:t>
            </w:r>
          </w:p>
        </w:tc>
        <w:tc>
          <w:tcPr>
            <w:tcW w:w="2997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C4A0A" w:rsidRPr="002C4A0A" w:rsidRDefault="002C4A0A" w:rsidP="002C4A0A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2C4A0A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30/03/2020 12:00</w:t>
            </w:r>
          </w:p>
        </w:tc>
      </w:tr>
    </w:tbl>
    <w:p w:rsidR="002C4A0A" w:rsidRPr="002C4A0A" w:rsidRDefault="002C4A0A" w:rsidP="002C4A0A">
      <w:pPr>
        <w:shd w:val="clear" w:color="auto" w:fill="FFFFFF"/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</w:pPr>
    </w:p>
    <w:p w:rsidR="00CA6725" w:rsidRPr="00CA6725" w:rsidRDefault="00CA6725" w:rsidP="00CA6725">
      <w:pPr>
        <w:spacing w:after="0" w:line="240" w:lineRule="auto"/>
        <w:rPr>
          <w:rFonts w:ascii="inherit" w:eastAsia="Times New Roman" w:hAnsi="inherit" w:cs="Arial"/>
          <w:b/>
          <w:bCs/>
          <w:caps/>
          <w:color w:val="252525"/>
          <w:lang w:val="ru-RU" w:eastAsia="ru-RU"/>
        </w:rPr>
      </w:pPr>
      <w:r w:rsidRPr="00CA6725">
        <w:rPr>
          <w:rFonts w:ascii="inherit" w:eastAsia="Times New Roman" w:hAnsi="inherit" w:cs="Arial"/>
          <w:b/>
          <w:bCs/>
          <w:caps/>
          <w:color w:val="252525"/>
          <w:lang w:val="ru-RU" w:eastAsia="ru-RU"/>
        </w:rPr>
        <w:t>Запрошення до участі в одноетапному тендері</w:t>
      </w:r>
    </w:p>
    <w:p w:rsidR="00CA6725" w:rsidRPr="00CA3303" w:rsidRDefault="00CA6725" w:rsidP="00CA6725">
      <w:pPr>
        <w:pStyle w:val="a4"/>
        <w:numPr>
          <w:ilvl w:val="0"/>
          <w:numId w:val="1"/>
        </w:numPr>
        <w:ind w:left="0" w:hanging="11"/>
        <w:jc w:val="both"/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</w:pPr>
      <w:r w:rsidRPr="00CA3303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Деталі фінансування</w:t>
      </w:r>
    </w:p>
    <w:p w:rsidR="00CA6725" w:rsidRDefault="00CA6725" w:rsidP="00CA6725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АТ «Укрзалізниця» (Клієнт) має намір використати частину кредитних </w:t>
      </w:r>
      <w:r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коштів позики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або гранту, </w:t>
      </w: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отриманих від Європейського банку реконструкції та розвитку (ЄБРР)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,</w:t>
      </w: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для фінансування зазначеного вище </w:t>
      </w:r>
      <w:r w:rsidR="003941E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договору(</w:t>
      </w:r>
      <w:proofErr w:type="spellStart"/>
      <w:r w:rsidR="003941E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ів</w:t>
      </w:r>
      <w:proofErr w:type="spellEnd"/>
      <w:r w:rsidR="003941E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)</w:t>
      </w: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. </w:t>
      </w:r>
    </w:p>
    <w:p w:rsidR="00CA6725" w:rsidRDefault="00CA6725" w:rsidP="0016719A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Додаткова фінансова інформа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ція:</w:t>
      </w:r>
    </w:p>
    <w:p w:rsidR="00CA6725" w:rsidRDefault="00CA6725" w:rsidP="0016719A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Про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є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кт спільно фінансу</w:t>
      </w:r>
      <w:r w:rsidR="00491D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є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ться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Європейським банком реконструкції та розвитку (ЄБРР) та Європейським інвестиційним банком (ЄІБ). Акціонерне товариство «Українськ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залізниц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я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» отримало 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позики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від ЄБРР та ЄІБ на 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фінансування проєкту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модернізації 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залізничних ліній України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(модернізація інфраструктури 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АТ «Укрзалізниця»)</w:t>
      </w:r>
      <w:r w:rsidRPr="00CA672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.</w:t>
      </w:r>
      <w:r w:rsidR="0016719A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Обидві фінансові угоди ратифіковані Верховною Радою України. </w:t>
      </w:r>
    </w:p>
    <w:p w:rsidR="0016719A" w:rsidRPr="0016719A" w:rsidRDefault="0016719A" w:rsidP="0016719A">
      <w:pPr>
        <w:pStyle w:val="a4"/>
        <w:numPr>
          <w:ilvl w:val="0"/>
          <w:numId w:val="1"/>
        </w:numPr>
        <w:ind w:left="0" w:hanging="11"/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</w:pPr>
      <w:r w:rsidRPr="0016719A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Інформація про закупівлю</w:t>
      </w:r>
    </w:p>
    <w:p w:rsidR="00606E24" w:rsidRDefault="00606E24" w:rsidP="00B241C1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606E2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Договори, що </w:t>
      </w:r>
      <w:r w:rsidR="00B241C1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фінансую</w:t>
      </w:r>
      <w:r w:rsidRPr="00606E2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ться за рахунок коштів позики або гранту, що </w:t>
      </w:r>
      <w:proofErr w:type="spellStart"/>
      <w:r w:rsidRPr="00606E2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адмініструється</w:t>
      </w:r>
      <w:proofErr w:type="spellEnd"/>
      <w:r w:rsidRPr="00606E2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ЄБРР, повинні відповідати вимогам Принципів та правил закупівель ЄБРР. Участь у закупівлях зможуть брати компанії з будь-якої країни, якщо інше не вказано в документах на закупівлю. </w:t>
      </w:r>
    </w:p>
    <w:p w:rsidR="00606E24" w:rsidRDefault="005817F7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lastRenderedPageBreak/>
        <w:t>Тип та метод закупівлі вказані вище. З детальним описом закупівлі можна ознайомитись</w:t>
      </w:r>
      <w:r w:rsidR="00F52080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 w:rsidR="00F52080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безкоштовно</w:t>
      </w:r>
      <w:r w:rsidR="00F52080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за допомогою документів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на порталі ЕСЕРР.</w:t>
      </w:r>
    </w:p>
    <w:p w:rsidR="005817F7" w:rsidRPr="00606E24" w:rsidRDefault="005817F7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Документація </w:t>
      </w:r>
      <w:r w:rsidR="00322F70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містить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наступну інформацію: детальні технічні та фінансові вимоги; будь-яку інформацію щодо лотів; очікуваний результат; кваліфікаційні вимоги; дату початку договору; заплановану тривалість договору; вимоги щодо </w:t>
      </w:r>
      <w:r w:rsid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заходів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реагування; будь-яку іншу необхідну інформацію. </w:t>
      </w:r>
    </w:p>
    <w:p w:rsidR="0016719A" w:rsidRPr="00160013" w:rsidRDefault="00160013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Тендерна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процедура буде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проводитись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у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вигляді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електронних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закупівель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із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застосуванням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порталу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електронних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закупівель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для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клієнтів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Європейського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банку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реконструкції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та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розвитку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(портал </w:t>
      </w:r>
      <w:r w:rsidRPr="00E641F6">
        <w:rPr>
          <w:rFonts w:ascii="inherit" w:eastAsia="Times New Roman" w:hAnsi="inherit" w:cs="Arial"/>
          <w:color w:val="252525"/>
          <w:sz w:val="20"/>
          <w:szCs w:val="20"/>
          <w:lang w:val="en-US" w:eastAsia="ru-RU"/>
        </w:rPr>
        <w:t>ECEPP</w:t>
      </w:r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).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Зацікавлені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учасники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можуть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отримати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доступ</w:t>
      </w:r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</w:t>
      </w:r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закупілі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,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скориставшись посиланням або за допомогою кнопки «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Access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Opportunity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»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(«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Отримати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доступ») (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якщо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="00322F70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читаєте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proofErr w:type="gram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це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пов</w:t>
      </w:r>
      <w:proofErr w:type="gram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ідомлення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на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порталі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 w:rsidRPr="00E641F6">
        <w:rPr>
          <w:rFonts w:ascii="inherit" w:eastAsia="Times New Roman" w:hAnsi="inherit" w:cs="Arial"/>
          <w:color w:val="252525"/>
          <w:sz w:val="20"/>
          <w:szCs w:val="20"/>
          <w:lang w:val="en-US" w:eastAsia="ru-RU"/>
        </w:rPr>
        <w:t>ECEPP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).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Зареєстровані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учасники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отримують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негайний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доступ до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тендерної</w:t>
      </w:r>
      <w:proofErr w:type="spellEnd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16001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документації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;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незареєстрованим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користувачам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потрібно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пройти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коротку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процедуру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реєстрації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для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отримання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доступу до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документації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:</w:t>
      </w:r>
      <w:r w:rsidR="0016719A" w:rsidRPr="00160013">
        <w:rPr>
          <w:rFonts w:ascii="Arial" w:hAnsi="Arial" w:cs="Arial"/>
          <w:color w:val="252525"/>
          <w:sz w:val="20"/>
          <w:szCs w:val="20"/>
          <w:lang w:val="ru-RU"/>
        </w:rPr>
        <w:br/>
      </w:r>
      <w:hyperlink r:id="rId6" w:tgtFrame="_blank" w:history="1"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https</w:t>
        </w:r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://</w:t>
        </w:r>
        <w:proofErr w:type="spellStart"/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ecepp</w:t>
        </w:r>
        <w:proofErr w:type="spellEnd"/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.</w:t>
        </w:r>
        <w:proofErr w:type="spellStart"/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ebrd</w:t>
        </w:r>
        <w:proofErr w:type="spellEnd"/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.</w:t>
        </w:r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com</w:t>
        </w:r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/</w:t>
        </w:r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respond</w:t>
        </w:r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/2654882</w:t>
        </w:r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K</w:t>
        </w:r>
        <w:r w:rsidR="0016719A" w:rsidRPr="00160013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3</w:t>
        </w:r>
        <w:r w:rsidR="0016719A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Z</w:t>
        </w:r>
      </w:hyperlink>
    </w:p>
    <w:p w:rsidR="0016719A" w:rsidRPr="00160013" w:rsidRDefault="00160013" w:rsidP="003941E6">
      <w:pPr>
        <w:pStyle w:val="a4"/>
        <w:numPr>
          <w:ilvl w:val="0"/>
          <w:numId w:val="1"/>
        </w:numPr>
        <w:jc w:val="both"/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</w:pPr>
      <w:r w:rsidRPr="00160013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Інша інформація</w:t>
      </w:r>
    </w:p>
    <w:p w:rsidR="00160013" w:rsidRDefault="005330E4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Закупівля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стосується робіт з електрифікації, 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будівництва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bookmarkStart w:id="0" w:name="_GoBack"/>
      <w:bookmarkEnd w:id="0"/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другого колії, планування 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колійного розвитку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на станціях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, а також модернізації </w:t>
      </w:r>
      <w:r w:rsidRPr="005330E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пристро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їв</w:t>
      </w:r>
      <w:r w:rsidRPr="005330E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СЦБ, зв’язку та радіозв’язку  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на станціях та на відкритих лініях залізничної 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ділянки</w:t>
      </w:r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proofErr w:type="spellStart"/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Долинська</w:t>
      </w:r>
      <w:proofErr w:type="spellEnd"/>
      <w:r w:rsidR="00160013" w:rsidRP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- Миколаїв на півдні України до укр</w:t>
      </w:r>
      <w:r w:rsidR="0016001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аїнських портів у Чорному морі.</w:t>
      </w:r>
    </w:p>
    <w:p w:rsidR="005577E2" w:rsidRPr="005577E2" w:rsidRDefault="005577E2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Закупівлі </w:t>
      </w:r>
      <w:r w:rsidRPr="00606E24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повинні відповідати вимогам Принципів та правил закупівель ЄБРР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(</w:t>
      </w:r>
      <w:hyperlink r:id="rId7" w:tgtFrame="_blank" w:history="1"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https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://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www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ebrd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com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work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with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us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procurement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policies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and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rules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html</w:t>
        </w:r>
      </w:hyperlink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) та вимогам Керівництва ЄІБ із закупівель (</w:t>
      </w:r>
      <w:hyperlink r:id="rId8" w:tgtFrame="_blank" w:history="1"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https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://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www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proofErr w:type="spellStart"/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eib</w:t>
        </w:r>
        <w:proofErr w:type="spellEnd"/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org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en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publications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/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guide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to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-</w:t>
        </w:r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procurement</w:t>
        </w:r>
        <w:r w:rsidRPr="005577E2"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uk-UA"/>
          </w:rPr>
          <w:t>.</w:t>
        </w:r>
        <w:proofErr w:type="spellStart"/>
        <w:r>
          <w:rPr>
            <w:rStyle w:val="a5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htm</w:t>
        </w:r>
        <w:proofErr w:type="spellEnd"/>
      </w:hyperlink>
      <w:r>
        <w:rPr>
          <w:lang w:val="uk-UA"/>
        </w:rPr>
        <w:t>)</w:t>
      </w:r>
    </w:p>
    <w:p w:rsidR="005577E2" w:rsidRPr="003941E6" w:rsidRDefault="005577E2" w:rsidP="003941E6">
      <w:pPr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Договір буде базуватись на «</w:t>
      </w:r>
      <w:r w:rsidRPr="005577E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У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мовах договору на будівництво» (</w:t>
      </w:r>
      <w:r w:rsidRPr="005577E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1-а редакція 1999 року, підготовлених Міжнародною федерацією інженерів-консультантів (FIDIC).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 w:rsidR="003941E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Заплановани</w:t>
      </w:r>
      <w:r w:rsidR="003941E6">
        <w:rPr>
          <w:rFonts w:ascii="inherit" w:eastAsia="Times New Roman" w:hAnsi="inherit" w:cs="Arial" w:hint="eastAsia"/>
          <w:color w:val="252525"/>
          <w:sz w:val="20"/>
          <w:szCs w:val="20"/>
          <w:lang w:val="uk-UA" w:eastAsia="ru-RU"/>
        </w:rPr>
        <w:t>й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період виконання робіт: 2020-2023 роки.</w:t>
      </w:r>
    </w:p>
    <w:p w:rsidR="0016719A" w:rsidRPr="003941E6" w:rsidRDefault="0016719A" w:rsidP="003941E6">
      <w:pPr>
        <w:pStyle w:val="a4"/>
        <w:numPr>
          <w:ilvl w:val="0"/>
          <w:numId w:val="1"/>
        </w:numPr>
        <w:spacing w:line="240" w:lineRule="auto"/>
        <w:ind w:left="357" w:hanging="357"/>
        <w:jc w:val="both"/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</w:pPr>
      <w:r w:rsidRPr="003941E6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 xml:space="preserve">Адреса </w:t>
      </w:r>
      <w:proofErr w:type="spellStart"/>
      <w:r w:rsidRPr="003941E6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>Клієнта</w:t>
      </w:r>
      <w:proofErr w:type="spellEnd"/>
      <w:r w:rsidRPr="003941E6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 xml:space="preserve">: </w:t>
      </w:r>
    </w:p>
    <w:p w:rsidR="003941E6" w:rsidRPr="003941E6" w:rsidRDefault="003941E6" w:rsidP="003941E6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Адреса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клієнта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вказується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лише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для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інформації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.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Щоб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взяти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участь у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</w:t>
      </w:r>
      <w:proofErr w:type="gram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вл</w:t>
      </w:r>
      <w:proofErr w:type="gram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та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ознайомитись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з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документацією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,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скористайтеся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вищевказаними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посиланнями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. Для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комунікації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з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клієнтом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зацікавлені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</w:t>
      </w:r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часники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повинні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використовувати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центр </w:t>
      </w:r>
      <w:proofErr w:type="spellStart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повідомлень</w:t>
      </w:r>
      <w:proofErr w:type="spellEnd"/>
      <w:r w:rsidRPr="003941E6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ECEPP.</w:t>
      </w:r>
    </w:p>
    <w:p w:rsidR="003941E6" w:rsidRDefault="003941E6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</w:p>
    <w:p w:rsidR="0016719A" w:rsidRPr="00D4524C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Представник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: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Дмитро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Козі</w:t>
      </w:r>
      <w:proofErr w:type="gram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н</w:t>
      </w:r>
      <w:proofErr w:type="spellEnd"/>
      <w:proofErr w:type="gramEnd"/>
    </w:p>
    <w:p w:rsidR="0016719A" w:rsidRPr="00CA3303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АТ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«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Укрзалізниця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»</w:t>
      </w:r>
    </w:p>
    <w:p w:rsidR="0016719A" w:rsidRPr="00D4524C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вул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.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Єжи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Ґедройця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5</w:t>
      </w:r>
    </w:p>
    <w:p w:rsidR="0016719A" w:rsidRPr="00D4524C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м.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Киї</w:t>
      </w:r>
      <w:proofErr w:type="gram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</w:t>
      </w:r>
      <w:proofErr w:type="spellEnd"/>
      <w:proofErr w:type="gram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</w:p>
    <w:p w:rsidR="0016719A" w:rsidRPr="00CA3303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Електронна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пошта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: </w:t>
      </w:r>
      <w:hyperlink r:id="rId9" w:history="1">
        <w:r w:rsidRPr="003941E6">
          <w:rPr>
            <w:rFonts w:ascii="inherit" w:eastAsia="Times New Roman" w:hAnsi="inherit" w:cs="Arial"/>
            <w:color w:val="252525"/>
            <w:sz w:val="20"/>
            <w:szCs w:val="20"/>
            <w:lang w:val="ru-RU" w:eastAsia="ru-RU"/>
          </w:rPr>
          <w:t>dkozin@uz.gov.ua</w:t>
        </w:r>
      </w:hyperlink>
    </w:p>
    <w:p w:rsidR="0016719A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03150</w:t>
      </w:r>
    </w:p>
    <w:p w:rsidR="0016719A" w:rsidRPr="00CA3303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Україна</w:t>
      </w:r>
      <w:proofErr w:type="spellEnd"/>
    </w:p>
    <w:p w:rsidR="0016719A" w:rsidRPr="00CA3303" w:rsidRDefault="0016719A" w:rsidP="0016719A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Тел.: +380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44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309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6542</w:t>
      </w:r>
    </w:p>
    <w:p w:rsidR="0016719A" w:rsidRPr="00CA6725" w:rsidRDefault="0016719A">
      <w:pP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sectPr w:rsidR="0016719A" w:rsidRPr="00CA6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941"/>
    <w:multiLevelType w:val="hybridMultilevel"/>
    <w:tmpl w:val="6FB83FE6"/>
    <w:lvl w:ilvl="0" w:tplc="C5644B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0A"/>
    <w:rsid w:val="00003A60"/>
    <w:rsid w:val="000A10B9"/>
    <w:rsid w:val="00160013"/>
    <w:rsid w:val="0016719A"/>
    <w:rsid w:val="001A6D24"/>
    <w:rsid w:val="002C4A0A"/>
    <w:rsid w:val="00322F70"/>
    <w:rsid w:val="003941E6"/>
    <w:rsid w:val="00491DD5"/>
    <w:rsid w:val="005330E4"/>
    <w:rsid w:val="005577E2"/>
    <w:rsid w:val="005817F7"/>
    <w:rsid w:val="00606E24"/>
    <w:rsid w:val="00A33893"/>
    <w:rsid w:val="00B241C1"/>
    <w:rsid w:val="00B8462C"/>
    <w:rsid w:val="00CA6725"/>
    <w:rsid w:val="00D04462"/>
    <w:rsid w:val="00F5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A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A0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a3">
    <w:name w:val="Strong"/>
    <w:basedOn w:val="a0"/>
    <w:uiPriority w:val="22"/>
    <w:qFormat/>
    <w:rsid w:val="002C4A0A"/>
    <w:rPr>
      <w:b/>
      <w:bCs/>
    </w:rPr>
  </w:style>
  <w:style w:type="paragraph" w:styleId="a4">
    <w:name w:val="List Paragraph"/>
    <w:basedOn w:val="a"/>
    <w:uiPriority w:val="34"/>
    <w:qFormat/>
    <w:rsid w:val="00CA672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71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A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A0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a3">
    <w:name w:val="Strong"/>
    <w:basedOn w:val="a0"/>
    <w:uiPriority w:val="22"/>
    <w:qFormat/>
    <w:rsid w:val="002C4A0A"/>
    <w:rPr>
      <w:b/>
      <w:bCs/>
    </w:rPr>
  </w:style>
  <w:style w:type="paragraph" w:styleId="a4">
    <w:name w:val="List Paragraph"/>
    <w:basedOn w:val="a"/>
    <w:uiPriority w:val="34"/>
    <w:qFormat/>
    <w:rsid w:val="00CA672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7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ib.org/en/publications/guide-to-procurement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brd.com/work-with-us/procurement/policies-and-rul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epp.ebrd.com/respond/2654882K3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kozin@uz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9</cp:revision>
  <dcterms:created xsi:type="dcterms:W3CDTF">2020-01-30T20:33:00Z</dcterms:created>
  <dcterms:modified xsi:type="dcterms:W3CDTF">2020-01-30T22:16:00Z</dcterms:modified>
</cp:coreProperties>
</file>