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347" w:rsidRPr="00D77347" w:rsidRDefault="00D77347" w:rsidP="00D77347">
      <w:pPr>
        <w:ind w:left="2880" w:hanging="288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uk-UA" w:eastAsia="ru-RU"/>
        </w:rPr>
      </w:pPr>
      <w:r w:rsidRPr="00D7734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ru-RU"/>
        </w:rPr>
        <w:t>загальне повідомлення про закупівлю</w:t>
      </w:r>
    </w:p>
    <w:p w:rsidR="009A4215" w:rsidRPr="00D77347" w:rsidRDefault="002B17CE" w:rsidP="00D77347">
      <w:pPr>
        <w:ind w:left="2880" w:hanging="2880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uk-UA" w:eastAsia="ru-RU"/>
        </w:rPr>
      </w:pPr>
      <w:r w:rsidRPr="00D77347">
        <w:rPr>
          <w:rFonts w:ascii="Times New Roman" w:eastAsia="Times New Roman" w:hAnsi="Times New Roman" w:cs="Times New Roman"/>
          <w:kern w:val="36"/>
          <w:sz w:val="24"/>
          <w:szCs w:val="24"/>
          <w:lang w:val="uk-UA" w:eastAsia="ru-RU"/>
        </w:rPr>
        <w:t>Україна</w:t>
      </w:r>
      <w:r w:rsidR="009A4215" w:rsidRPr="00D77347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 xml:space="preserve">: </w:t>
      </w:r>
      <w:r w:rsidRPr="00D77347">
        <w:rPr>
          <w:rFonts w:ascii="Times New Roman" w:eastAsia="Times New Roman" w:hAnsi="Times New Roman" w:cs="Times New Roman"/>
          <w:kern w:val="36"/>
          <w:sz w:val="24"/>
          <w:szCs w:val="24"/>
          <w:lang w:val="uk-UA" w:eastAsia="ru-RU"/>
        </w:rPr>
        <w:t>Модернізація пріоритетних залізничних ліній України</w:t>
      </w:r>
    </w:p>
    <w:tbl>
      <w:tblPr>
        <w:tblW w:w="4920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9"/>
        <w:gridCol w:w="6929"/>
      </w:tblGrid>
      <w:tr w:rsidR="00D77347" w:rsidRPr="00D77347" w:rsidTr="00D77347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6E73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проєкту</w:t>
            </w: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2B17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773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Модернізація пріоритетних залізничних ліній України</w:t>
            </w:r>
          </w:p>
        </w:tc>
      </w:tr>
      <w:tr w:rsidR="00D77347" w:rsidRPr="00D77347" w:rsidTr="00D77347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6E73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Номер проєкту ЄБРР</w:t>
            </w: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6E73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3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50833</w:t>
            </w:r>
          </w:p>
        </w:tc>
      </w:tr>
      <w:tr w:rsidR="00D77347" w:rsidRPr="00D77347" w:rsidTr="00D77347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6E73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Країна</w:t>
            </w: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6E73C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773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Україна</w:t>
            </w:r>
          </w:p>
        </w:tc>
      </w:tr>
      <w:tr w:rsidR="00D77347" w:rsidRPr="00D77347" w:rsidTr="00D77347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6E73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Тип закупівель</w:t>
            </w: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6E73C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773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Товари, постачання та монтаж</w:t>
            </w:r>
          </w:p>
        </w:tc>
      </w:tr>
      <w:tr w:rsidR="00D77347" w:rsidRPr="00D77347" w:rsidTr="00D77347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6E73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клієнта</w:t>
            </w: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6E73C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773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АКЦІОНЕРНЕ ТОВАРИСТВО «УКРАЇНСЬКА ЗАЛІЗНИЦЯ»</w:t>
            </w:r>
          </w:p>
        </w:tc>
      </w:tr>
      <w:tr w:rsidR="00D77347" w:rsidRPr="00D77347" w:rsidTr="00D77347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6E73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Галузь</w:t>
            </w: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6E73C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773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Транспорт</w:t>
            </w:r>
          </w:p>
        </w:tc>
      </w:tr>
      <w:tr w:rsidR="00D77347" w:rsidRPr="00D77347" w:rsidTr="00D77347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6E73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Тип повідомлення</w:t>
            </w: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6E73C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773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Загальне повідомлення про закупівлю</w:t>
            </w:r>
          </w:p>
        </w:tc>
      </w:tr>
      <w:tr w:rsidR="00D77347" w:rsidRPr="00D77347" w:rsidTr="00D77347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6E73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Дата та час публікації</w:t>
            </w: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6E73C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773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07/10/2019 18:01</w:t>
            </w:r>
          </w:p>
        </w:tc>
      </w:tr>
      <w:tr w:rsidR="00D77347" w:rsidRPr="00D77347" w:rsidTr="00D77347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6E73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Дата закінчення</w:t>
            </w:r>
            <w:r w:rsidRPr="00D773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B17CE" w:rsidRPr="00D77347" w:rsidRDefault="002B17CE" w:rsidP="006E73C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773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07/10/2020</w:t>
            </w:r>
          </w:p>
        </w:tc>
      </w:tr>
    </w:tbl>
    <w:p w:rsidR="005B02A8" w:rsidRPr="00D77347" w:rsidRDefault="00450A47" w:rsidP="004452E5">
      <w:pPr>
        <w:shd w:val="clear" w:color="auto" w:fill="FFFFFF"/>
        <w:spacing w:after="120"/>
        <w:textAlignment w:val="baseline"/>
        <w:outlineLvl w:val="1"/>
        <w:rPr>
          <w:rFonts w:ascii="Times New Roman" w:eastAsia="Times New Roman" w:hAnsi="Times New Roman" w:cs="Times New Roman"/>
          <w:b/>
          <w:bCs/>
          <w:caps/>
          <w:lang w:val="uk-UA" w:eastAsia="ru-RU"/>
        </w:rPr>
      </w:pPr>
      <w:r w:rsidRPr="00D77347">
        <w:rPr>
          <w:rFonts w:ascii="Times New Roman" w:eastAsia="Times New Roman" w:hAnsi="Times New Roman" w:cs="Times New Roman"/>
          <w:b/>
          <w:bCs/>
          <w:caps/>
          <w:lang w:val="uk-UA" w:eastAsia="ru-RU"/>
        </w:rPr>
        <w:t xml:space="preserve">ЗАГАЛЬНЕ ПОВІДОМЛЕННЯ ПРО </w:t>
      </w:r>
      <w:r w:rsidR="006E6E2C" w:rsidRPr="00D77347">
        <w:rPr>
          <w:rFonts w:ascii="Times New Roman" w:eastAsia="Times New Roman" w:hAnsi="Times New Roman" w:cs="Times New Roman"/>
          <w:b/>
          <w:bCs/>
          <w:caps/>
          <w:lang w:val="uk-UA" w:eastAsia="ru-RU"/>
        </w:rPr>
        <w:t>ЗАКУПІВЛЮ</w:t>
      </w:r>
    </w:p>
    <w:p w:rsidR="00122D77" w:rsidRPr="00D77347" w:rsidRDefault="00122D77" w:rsidP="00122D77">
      <w:pPr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АТ «Укрзалізниця» (Клієнт) має намір використати </w:t>
      </w:r>
      <w:r w:rsidR="008B4823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частину кредитних коштів, отриманих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від Європейського банку реконструкції та розвитку (ЄБРР) для фі</w:t>
      </w:r>
      <w:r w:rsidR="008B4823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нансування зазначеного вище проє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кту. Додаткова фінансова інформація:</w:t>
      </w:r>
    </w:p>
    <w:p w:rsidR="008B4823" w:rsidRPr="00D77347" w:rsidRDefault="008B4823" w:rsidP="00122D77">
      <w:pPr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B4823" w:rsidRPr="00D77347" w:rsidRDefault="008B4823" w:rsidP="00122D77">
      <w:pPr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Фінансування, отримане від ЄБРР</w:t>
      </w:r>
    </w:p>
    <w:p w:rsidR="008B4823" w:rsidRPr="00D77347" w:rsidRDefault="008B4823" w:rsidP="00122D77">
      <w:pPr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100% коштів отримуються від ЄБРР</w:t>
      </w:r>
    </w:p>
    <w:p w:rsidR="008B4823" w:rsidRDefault="008B4823" w:rsidP="008B4823">
      <w:pPr>
        <w:pStyle w:val="ab"/>
        <w:spacing w:before="120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Проект, загальна кошторисна вартість якого складає 100 000 000,00 (сто) мільйонів доларів США, включатиме закупівлю наступного:</w:t>
      </w:r>
    </w:p>
    <w:p w:rsidR="00D77347" w:rsidRPr="00D77347" w:rsidRDefault="00D77347" w:rsidP="008B4823">
      <w:pPr>
        <w:pStyle w:val="ab"/>
        <w:spacing w:before="120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8B4823" w:rsidRPr="00D77347" w:rsidRDefault="008B4823" w:rsidP="008B4823">
      <w:pPr>
        <w:pStyle w:val="ab"/>
        <w:numPr>
          <w:ilvl w:val="0"/>
          <w:numId w:val="6"/>
        </w:numPr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Фінансування отримується для реконструкції верхньої будови колії та технічного переоснащення засобів автоматики та телекомунікацій (фінансування капітальних інвестицій) на пріоритетних залізничних лініях, на коридорах Транс’європейської транспортної мережі (TEN-T).</w:t>
      </w:r>
      <w:r w:rsidR="008D77B7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В рамках запропонованого проєкту передбачається закупівля:</w:t>
      </w:r>
    </w:p>
    <w:p w:rsidR="008D77B7" w:rsidRPr="00D77347" w:rsidRDefault="008D77B7" w:rsidP="008D77B7">
      <w:pPr>
        <w:pStyle w:val="ab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матеріалів верхньої будови колії та стрілочних переводів для колії 1520 мм, та</w:t>
      </w:r>
    </w:p>
    <w:p w:rsidR="008D77B7" w:rsidRPr="00D77347" w:rsidRDefault="008D77B7" w:rsidP="008D77B7">
      <w:pPr>
        <w:pStyle w:val="ab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товарів та супутніх послуг для переоснащення засобів залізничної автоматики та зв’язку (сигнальні засоби та засоби  централізованого керування рухом).</w:t>
      </w:r>
    </w:p>
    <w:p w:rsidR="00FE031E" w:rsidRPr="00D77347" w:rsidRDefault="00FE031E" w:rsidP="00D77347">
      <w:pPr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FE031E" w:rsidRPr="00D77347" w:rsidRDefault="00FE031E" w:rsidP="004452E5">
      <w:pPr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Очікується, що тендер на закупівлю товарів та послуг в рамках вищезазначених договорів розпочнеться 21 жовтня 2019 року.</w:t>
      </w:r>
    </w:p>
    <w:p w:rsidR="00122D77" w:rsidRPr="00D77347" w:rsidRDefault="00FE031E" w:rsidP="00DA2E8A">
      <w:pPr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До участі у тендерній процедурі допускаються будь-які компанії з будь-якої країни.</w:t>
      </w:r>
    </w:p>
    <w:p w:rsidR="004166E7" w:rsidRPr="00D77347" w:rsidRDefault="004166E7" w:rsidP="00D77347">
      <w:pPr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476B81" w:rsidRPr="00D77347" w:rsidRDefault="00476B81" w:rsidP="004452E5">
      <w:p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Договори, щ</w:t>
      </w:r>
      <w:r w:rsidR="00CA3230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о </w:t>
      </w:r>
      <w:r w:rsidR="004D079C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фінансуватимуться за рахунок коштів позики</w:t>
      </w:r>
      <w:r w:rsidR="00790028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або гранту, що адмініструється</w:t>
      </w:r>
      <w:r w:rsidR="004D079C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0E1C2B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ЄБРР</w:t>
      </w:r>
      <w:r w:rsidR="000D6D3C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,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повинні відповідати </w:t>
      </w:r>
      <w:r w:rsidR="008574A4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вимогам Принципів та правил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404373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закупівель ЄБРР. Участь у закупівлях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404373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зможуть брати 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компан</w:t>
      </w:r>
      <w:r w:rsidR="00404373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ії</w:t>
      </w:r>
      <w:r w:rsidR="00F744F6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 будь-якої к</w:t>
      </w:r>
      <w:r w:rsidR="004D079C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раїни. К</w:t>
      </w:r>
      <w:r w:rsidR="00F744F6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ошти </w:t>
      </w:r>
      <w:r w:rsidR="004D079C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позики </w:t>
      </w:r>
      <w:r w:rsidR="00F744F6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ЄБРР </w:t>
      </w:r>
      <w:r w:rsidR="00BE7CAC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не будуть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використовуватися для цілей будь-яких виплат </w:t>
      </w:r>
      <w:r w:rsidR="004C3314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фізичним або юридичним 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особам </w:t>
      </w:r>
      <w:r w:rsidR="004C3314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за будь-який імпорт товарів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, якщо така оплата або імпорт заборонені рішенням Ради Безпеки </w:t>
      </w:r>
      <w:r w:rsidR="00BE7CAC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Організації Об’єднаних Націй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, прийнятим відповідно до </w:t>
      </w:r>
      <w:r w:rsidR="00EB12B5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Розділу </w:t>
      </w:r>
      <w:r w:rsidR="00BE7CAC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VII Статуту Організації Об’єднаних Націй</w:t>
      </w:r>
      <w:r w:rsidR="00790028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, або заборонені законодавством чи офіційною по</w:t>
      </w:r>
      <w:bookmarkStart w:id="0" w:name="_GoBack"/>
      <w:bookmarkEnd w:id="0"/>
      <w:r w:rsidR="00790028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становою країни реєстрації Клієнта</w:t>
      </w:r>
      <w:r w:rsidR="00BE7CAC"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</w:t>
      </w:r>
    </w:p>
    <w:p w:rsidR="00FE031E" w:rsidRPr="00D77347" w:rsidRDefault="00FE031E" w:rsidP="00FE031E">
      <w:pPr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Тендерна процедура буде проводитись у вигляді електронних закупівель із застосуванням порталу електронних закупівель для клієнтів Європейського банку реконструкції та розвитку (портал 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ECEPP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). Майбутні учасники тендеру, які зареєструвалися на порталі 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ECEPP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та виразили свою зацікавленість в участі у тендерній закупівлі, отримують доступ до тендерної документації та можуть за допомогою порталу 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ECEPP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надсилати запити для отримання від Клі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є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нта роз’яснень, а також запити щодо надання Клієнтом додаткової інформації. 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Майбутні учасники тендеру, які ще не зареєструвалися на порталі 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ECEPP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, і зацікавлені в участі у цій тендерній процедурі, повинні зареєструватися на порталі 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ECEPP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, скориставшись наступним посиланням: </w:t>
      </w:r>
      <w:hyperlink r:id="rId9" w:tgtFrame="_blank" w:history="1">
        <w:r w:rsidRPr="00D77347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https</w:t>
        </w:r>
        <w:r w:rsidRPr="00D77347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ru-RU" w:eastAsia="ru-RU"/>
          </w:rPr>
          <w:t>://</w:t>
        </w:r>
        <w:r w:rsidRPr="00D77347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ecepp</w:t>
        </w:r>
        <w:r w:rsidRPr="00D77347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ru-RU" w:eastAsia="ru-RU"/>
          </w:rPr>
          <w:t>.</w:t>
        </w:r>
        <w:r w:rsidRPr="00D77347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ebrd</w:t>
        </w:r>
        <w:r w:rsidRPr="00D77347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ru-RU" w:eastAsia="ru-RU"/>
          </w:rPr>
          <w:t>.</w:t>
        </w:r>
        <w:r w:rsidRPr="00D77347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com</w:t>
        </w:r>
        <w:r w:rsidRPr="00D77347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ru-RU" w:eastAsia="ru-RU"/>
          </w:rPr>
          <w:t>/</w:t>
        </w:r>
        <w:r w:rsidRPr="00D77347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delta</w:t>
        </w:r>
        <w:r w:rsidRPr="00D77347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ru-RU" w:eastAsia="ru-RU"/>
          </w:rPr>
          <w:t>/</w:t>
        </w:r>
        <w:r w:rsidRPr="00D77347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viewNotice</w:t>
        </w:r>
        <w:r w:rsidRPr="00D77347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ru-RU" w:eastAsia="ru-RU"/>
          </w:rPr>
          <w:t>.</w:t>
        </w:r>
        <w:r w:rsidRPr="00D77347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html</w:t>
        </w:r>
        <w:r w:rsidRPr="00D77347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ru-RU" w:eastAsia="ru-RU"/>
          </w:rPr>
          <w:t>?</w:t>
        </w:r>
        <w:r w:rsidRPr="00D77347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displayNoticeId</w:t>
        </w:r>
        <w:r w:rsidRPr="00D77347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ru-RU" w:eastAsia="ru-RU"/>
          </w:rPr>
          <w:t>=9655335</w:t>
        </w:r>
      </w:hyperlink>
    </w:p>
    <w:p w:rsidR="00FE031E" w:rsidRPr="00D77347" w:rsidRDefault="00FE031E" w:rsidP="00D77347">
      <w:pPr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D4524C" w:rsidRPr="00D77347" w:rsidRDefault="00D4524C" w:rsidP="00D4524C">
      <w:pPr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Адреса Клієнта: </w:t>
      </w:r>
    </w:p>
    <w:p w:rsidR="00D4524C" w:rsidRPr="00D77347" w:rsidRDefault="00D4524C" w:rsidP="00D4524C">
      <w:pPr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Представник: Дмитро Козін</w:t>
      </w:r>
    </w:p>
    <w:p w:rsidR="00D4524C" w:rsidRPr="00D77347" w:rsidRDefault="00D4524C" w:rsidP="00D4524C">
      <w:pPr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АТ</w:t>
      </w:r>
      <w:r w:rsidRPr="00D77347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«Укрзалізниця»</w:t>
      </w:r>
    </w:p>
    <w:p w:rsidR="00D4524C" w:rsidRPr="00D77347" w:rsidRDefault="00D4524C" w:rsidP="00D4524C">
      <w:pPr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Кімната 416</w:t>
      </w:r>
      <w:r w:rsidR="004452E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, 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вул.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Тверська, 5 (вул. Єжи Ґедройця 5),</w:t>
      </w:r>
      <w:r w:rsidR="004452E5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м.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Київ 03150, Україна </w:t>
      </w:r>
    </w:p>
    <w:p w:rsidR="00423FEF" w:rsidRPr="00D77347" w:rsidRDefault="00D4524C" w:rsidP="00D4524C">
      <w:pPr>
        <w:jc w:val="both"/>
        <w:rPr>
          <w:rFonts w:ascii="Times New Roman" w:eastAsia="Times New Roman" w:hAnsi="Times New Roman" w:cs="Times New Roman"/>
          <w:lang w:val="uk-UA"/>
        </w:rPr>
      </w:pP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Тел.: +380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44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309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6542</w:t>
      </w:r>
      <w:r w:rsidR="004452E5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Електронна пошта: 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dkozin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@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uz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.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gov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.</w:t>
      </w:r>
      <w:r w:rsidRPr="00D7734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ua</w:t>
      </w:r>
    </w:p>
    <w:sectPr w:rsidR="00423FEF" w:rsidRPr="00D77347" w:rsidSect="004452E5">
      <w:headerReference w:type="even" r:id="rId10"/>
      <w:footerReference w:type="even" r:id="rId11"/>
      <w:headerReference w:type="first" r:id="rId12"/>
      <w:footerReference w:type="first" r:id="rId13"/>
      <w:pgSz w:w="11906" w:h="16838"/>
      <w:pgMar w:top="851" w:right="707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577" w:rsidRDefault="00A65577" w:rsidP="005B02A8">
      <w:r>
        <w:separator/>
      </w:r>
    </w:p>
  </w:endnote>
  <w:endnote w:type="continuationSeparator" w:id="0">
    <w:p w:rsidR="00A65577" w:rsidRDefault="00A65577" w:rsidP="005B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00000001" w:usb1="5000ECFF" w:usb2="00000021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2A8" w:rsidRPr="005B02A8" w:rsidRDefault="00283DFA" w:rsidP="00CD4474">
    <w:pPr>
      <w:pStyle w:val="a5"/>
      <w:jc w:val="center"/>
    </w:pPr>
    <w:r>
      <w:rPr>
        <w:rFonts w:ascii="Arial" w:hAnsi="Arial" w:cs="Arial"/>
        <w:color w:val="0000FF"/>
        <w:sz w:val="18"/>
      </w:rPr>
      <w:fldChar w:fldCharType="begin" w:fldLock="1"/>
    </w:r>
    <w:r>
      <w:rPr>
        <w:rFonts w:ascii="Arial" w:hAnsi="Arial" w:cs="Arial"/>
        <w:color w:val="0000FF"/>
        <w:sz w:val="18"/>
      </w:rPr>
      <w:instrText xml:space="preserve"> DOCPROPERTY bjFooterEvenPageDocProperty \* MERGEFORMAT </w:instrText>
    </w:r>
    <w:r>
      <w:rPr>
        <w:rFonts w:ascii="Arial" w:hAnsi="Arial" w:cs="Arial"/>
        <w:color w:val="0000FF"/>
        <w:sz w:val="18"/>
      </w:rPr>
      <w:fldChar w:fldCharType="separate"/>
    </w:r>
    <w:r w:rsidR="00CD4474" w:rsidRPr="00CD4474">
      <w:rPr>
        <w:rFonts w:ascii="Arial" w:hAnsi="Arial" w:cs="Arial"/>
        <w:color w:val="0000FF"/>
        <w:sz w:val="18"/>
      </w:rPr>
      <w:t>OFFICIAL USE</w:t>
    </w:r>
    <w:r>
      <w:rPr>
        <w:rFonts w:ascii="Arial" w:hAnsi="Arial" w:cs="Arial"/>
        <w:color w:val="0000FF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2A8" w:rsidRPr="005B02A8" w:rsidRDefault="00283DFA" w:rsidP="00CD4474">
    <w:pPr>
      <w:pStyle w:val="a5"/>
      <w:jc w:val="center"/>
    </w:pPr>
    <w:r>
      <w:rPr>
        <w:rFonts w:ascii="Arial" w:hAnsi="Arial" w:cs="Arial"/>
        <w:color w:val="0000FF"/>
        <w:sz w:val="18"/>
      </w:rPr>
      <w:fldChar w:fldCharType="begin" w:fldLock="1"/>
    </w:r>
    <w:r>
      <w:rPr>
        <w:rFonts w:ascii="Arial" w:hAnsi="Arial" w:cs="Arial"/>
        <w:color w:val="0000FF"/>
        <w:sz w:val="18"/>
      </w:rPr>
      <w:instrText xml:space="preserve"> DOCPROPERTY bjFooterFirstPageDocProperty \* MERGEFORMAT </w:instrText>
    </w:r>
    <w:r>
      <w:rPr>
        <w:rFonts w:ascii="Arial" w:hAnsi="Arial" w:cs="Arial"/>
        <w:color w:val="0000FF"/>
        <w:sz w:val="18"/>
      </w:rPr>
      <w:fldChar w:fldCharType="separate"/>
    </w:r>
    <w:r w:rsidR="00CD4474" w:rsidRPr="00CD4474">
      <w:rPr>
        <w:rFonts w:ascii="Arial" w:hAnsi="Arial" w:cs="Arial"/>
        <w:color w:val="0000FF"/>
        <w:sz w:val="18"/>
      </w:rPr>
      <w:t>OFFICIAL USE</w:t>
    </w:r>
    <w:r>
      <w:rPr>
        <w:rFonts w:ascii="Arial" w:hAnsi="Arial" w:cs="Arial"/>
        <w:color w:val="0000FF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577" w:rsidRDefault="00A65577" w:rsidP="005B02A8">
      <w:r>
        <w:separator/>
      </w:r>
    </w:p>
  </w:footnote>
  <w:footnote w:type="continuationSeparator" w:id="0">
    <w:p w:rsidR="00A65577" w:rsidRDefault="00A65577" w:rsidP="005B0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2A8" w:rsidRPr="005B02A8" w:rsidRDefault="00283DFA" w:rsidP="00CD4474">
    <w:pPr>
      <w:pStyle w:val="a3"/>
      <w:jc w:val="center"/>
    </w:pPr>
    <w:r>
      <w:rPr>
        <w:rFonts w:ascii="Arial" w:hAnsi="Arial" w:cs="Arial"/>
        <w:color w:val="0000FF"/>
        <w:sz w:val="18"/>
      </w:rPr>
      <w:fldChar w:fldCharType="begin" w:fldLock="1"/>
    </w:r>
    <w:r>
      <w:rPr>
        <w:rFonts w:ascii="Arial" w:hAnsi="Arial" w:cs="Arial"/>
        <w:color w:val="0000FF"/>
        <w:sz w:val="18"/>
      </w:rPr>
      <w:instrText xml:space="preserve"> DOCPROPERTY bjHeaderEvenPageDocProperty \* MERGEFORMAT </w:instrText>
    </w:r>
    <w:r>
      <w:rPr>
        <w:rFonts w:ascii="Arial" w:hAnsi="Arial" w:cs="Arial"/>
        <w:color w:val="0000FF"/>
        <w:sz w:val="18"/>
      </w:rPr>
      <w:fldChar w:fldCharType="separate"/>
    </w:r>
    <w:r w:rsidR="00CD4474" w:rsidRPr="00CD4474">
      <w:rPr>
        <w:rFonts w:ascii="Arial" w:hAnsi="Arial" w:cs="Arial"/>
        <w:color w:val="0000FF"/>
        <w:sz w:val="18"/>
      </w:rPr>
      <w:t>OFFICIAL USE</w:t>
    </w:r>
    <w:r>
      <w:rPr>
        <w:rFonts w:ascii="Arial" w:hAnsi="Arial" w:cs="Arial"/>
        <w:color w:val="0000FF"/>
        <w:sz w:val="1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2A8" w:rsidRPr="005B02A8" w:rsidRDefault="00283DFA" w:rsidP="00CD4474">
    <w:pPr>
      <w:pStyle w:val="a3"/>
      <w:jc w:val="center"/>
    </w:pPr>
    <w:r>
      <w:rPr>
        <w:rFonts w:ascii="Arial" w:hAnsi="Arial" w:cs="Arial"/>
        <w:color w:val="0000FF"/>
        <w:sz w:val="18"/>
      </w:rPr>
      <w:fldChar w:fldCharType="begin" w:fldLock="1"/>
    </w:r>
    <w:r>
      <w:rPr>
        <w:rFonts w:ascii="Arial" w:hAnsi="Arial" w:cs="Arial"/>
        <w:color w:val="0000FF"/>
        <w:sz w:val="18"/>
      </w:rPr>
      <w:instrText xml:space="preserve"> DOCPROPERTY bjHeaderFirstPageDocProperty \* MERGEFORMAT </w:instrText>
    </w:r>
    <w:r>
      <w:rPr>
        <w:rFonts w:ascii="Arial" w:hAnsi="Arial" w:cs="Arial"/>
        <w:color w:val="0000FF"/>
        <w:sz w:val="18"/>
      </w:rPr>
      <w:fldChar w:fldCharType="separate"/>
    </w:r>
    <w:r w:rsidR="00CD4474" w:rsidRPr="00CD4474">
      <w:rPr>
        <w:rFonts w:ascii="Arial" w:hAnsi="Arial" w:cs="Arial"/>
        <w:color w:val="0000FF"/>
        <w:sz w:val="18"/>
      </w:rPr>
      <w:t>OFFICIAL USE</w:t>
    </w:r>
    <w:r>
      <w:rPr>
        <w:rFonts w:ascii="Arial" w:hAnsi="Arial" w:cs="Arial"/>
        <w:color w:val="0000FF"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2C51"/>
    <w:multiLevelType w:val="multilevel"/>
    <w:tmpl w:val="D01C6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9E462A"/>
    <w:multiLevelType w:val="hybridMultilevel"/>
    <w:tmpl w:val="F24CC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21D22"/>
    <w:multiLevelType w:val="multilevel"/>
    <w:tmpl w:val="B870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A85008"/>
    <w:multiLevelType w:val="hybridMultilevel"/>
    <w:tmpl w:val="0534026A"/>
    <w:lvl w:ilvl="0" w:tplc="EB7ED542">
      <w:start w:val="13"/>
      <w:numFmt w:val="bullet"/>
      <w:lvlText w:val="-"/>
      <w:lvlJc w:val="left"/>
      <w:pPr>
        <w:ind w:left="720" w:hanging="360"/>
      </w:pPr>
      <w:rPr>
        <w:rFonts w:ascii="inherit" w:eastAsia="Times New Roman" w:hAnsi="inherit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53F21"/>
    <w:multiLevelType w:val="hybridMultilevel"/>
    <w:tmpl w:val="338858B8"/>
    <w:lvl w:ilvl="0" w:tplc="3C5AA480">
      <w:start w:val="13"/>
      <w:numFmt w:val="bullet"/>
      <w:lvlText w:val="-"/>
      <w:lvlJc w:val="left"/>
      <w:pPr>
        <w:ind w:left="720" w:hanging="360"/>
      </w:pPr>
      <w:rPr>
        <w:rFonts w:ascii="inherit" w:eastAsia="Times New Roman" w:hAnsi="inherit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C06446"/>
    <w:multiLevelType w:val="hybridMultilevel"/>
    <w:tmpl w:val="59326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00474"/>
    <w:multiLevelType w:val="hybridMultilevel"/>
    <w:tmpl w:val="1F60F99C"/>
    <w:lvl w:ilvl="0" w:tplc="8162101A">
      <w:start w:val="8"/>
      <w:numFmt w:val="bullet"/>
      <w:lvlText w:val="-"/>
      <w:lvlJc w:val="left"/>
      <w:pPr>
        <w:ind w:left="720" w:hanging="360"/>
      </w:pPr>
      <w:rPr>
        <w:rFonts w:ascii="Lato" w:eastAsia="Times New Roman" w:hAnsi="Lato" w:cs="Helvetic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05F68"/>
    <w:multiLevelType w:val="hybridMultilevel"/>
    <w:tmpl w:val="2A06B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A8"/>
    <w:rsid w:val="000144F6"/>
    <w:rsid w:val="00040C38"/>
    <w:rsid w:val="0004287B"/>
    <w:rsid w:val="00083E72"/>
    <w:rsid w:val="000D6D3C"/>
    <w:rsid w:val="000E1C2B"/>
    <w:rsid w:val="000F6147"/>
    <w:rsid w:val="00104B6D"/>
    <w:rsid w:val="00106B4B"/>
    <w:rsid w:val="0011362B"/>
    <w:rsid w:val="00122D77"/>
    <w:rsid w:val="001354F1"/>
    <w:rsid w:val="00164180"/>
    <w:rsid w:val="00191A62"/>
    <w:rsid w:val="001D312C"/>
    <w:rsid w:val="0022657B"/>
    <w:rsid w:val="002339CA"/>
    <w:rsid w:val="002444DB"/>
    <w:rsid w:val="00283C12"/>
    <w:rsid w:val="00283DFA"/>
    <w:rsid w:val="00284124"/>
    <w:rsid w:val="0028498E"/>
    <w:rsid w:val="002912E7"/>
    <w:rsid w:val="002A2DD4"/>
    <w:rsid w:val="002B17CE"/>
    <w:rsid w:val="002C332C"/>
    <w:rsid w:val="002F4D46"/>
    <w:rsid w:val="002F70D6"/>
    <w:rsid w:val="0032059A"/>
    <w:rsid w:val="00330D1C"/>
    <w:rsid w:val="0034382E"/>
    <w:rsid w:val="00353E88"/>
    <w:rsid w:val="00371FAA"/>
    <w:rsid w:val="003B2E9F"/>
    <w:rsid w:val="003F1182"/>
    <w:rsid w:val="00404373"/>
    <w:rsid w:val="004110C9"/>
    <w:rsid w:val="00412283"/>
    <w:rsid w:val="004166E7"/>
    <w:rsid w:val="0042192A"/>
    <w:rsid w:val="00423FEF"/>
    <w:rsid w:val="00425F77"/>
    <w:rsid w:val="00434369"/>
    <w:rsid w:val="004452E5"/>
    <w:rsid w:val="00450A47"/>
    <w:rsid w:val="004618EE"/>
    <w:rsid w:val="00471662"/>
    <w:rsid w:val="00476B81"/>
    <w:rsid w:val="00486826"/>
    <w:rsid w:val="00497C8B"/>
    <w:rsid w:val="004B09FA"/>
    <w:rsid w:val="004B6F04"/>
    <w:rsid w:val="004C3314"/>
    <w:rsid w:val="004D079C"/>
    <w:rsid w:val="004D41AA"/>
    <w:rsid w:val="004D5158"/>
    <w:rsid w:val="004F1324"/>
    <w:rsid w:val="00511E5E"/>
    <w:rsid w:val="005332A1"/>
    <w:rsid w:val="005445AC"/>
    <w:rsid w:val="00551C32"/>
    <w:rsid w:val="00575537"/>
    <w:rsid w:val="00593D05"/>
    <w:rsid w:val="005B02A8"/>
    <w:rsid w:val="005B30B3"/>
    <w:rsid w:val="005C1E95"/>
    <w:rsid w:val="005D2BED"/>
    <w:rsid w:val="006005F2"/>
    <w:rsid w:val="0061411B"/>
    <w:rsid w:val="006212FD"/>
    <w:rsid w:val="00623843"/>
    <w:rsid w:val="00660D61"/>
    <w:rsid w:val="0066325C"/>
    <w:rsid w:val="00670917"/>
    <w:rsid w:val="00677465"/>
    <w:rsid w:val="00693D9B"/>
    <w:rsid w:val="006A307F"/>
    <w:rsid w:val="006B0E06"/>
    <w:rsid w:val="006B2BA0"/>
    <w:rsid w:val="006B7EEA"/>
    <w:rsid w:val="006D270E"/>
    <w:rsid w:val="006D5217"/>
    <w:rsid w:val="006E6E2C"/>
    <w:rsid w:val="007109BC"/>
    <w:rsid w:val="007138A6"/>
    <w:rsid w:val="00732DA2"/>
    <w:rsid w:val="00736F6A"/>
    <w:rsid w:val="007722D2"/>
    <w:rsid w:val="00790028"/>
    <w:rsid w:val="007B0306"/>
    <w:rsid w:val="007C3EAF"/>
    <w:rsid w:val="007F0AB3"/>
    <w:rsid w:val="007F3EF8"/>
    <w:rsid w:val="00815161"/>
    <w:rsid w:val="00822DE7"/>
    <w:rsid w:val="00830EA9"/>
    <w:rsid w:val="00841935"/>
    <w:rsid w:val="008574A4"/>
    <w:rsid w:val="00857C6B"/>
    <w:rsid w:val="00863CA0"/>
    <w:rsid w:val="00882642"/>
    <w:rsid w:val="008A02F8"/>
    <w:rsid w:val="008A436D"/>
    <w:rsid w:val="008B4823"/>
    <w:rsid w:val="008D77B7"/>
    <w:rsid w:val="00930809"/>
    <w:rsid w:val="0093467C"/>
    <w:rsid w:val="009765A1"/>
    <w:rsid w:val="009917EB"/>
    <w:rsid w:val="009A4215"/>
    <w:rsid w:val="009A49BE"/>
    <w:rsid w:val="009B79D3"/>
    <w:rsid w:val="009E3739"/>
    <w:rsid w:val="009E4E5E"/>
    <w:rsid w:val="00A11BD2"/>
    <w:rsid w:val="00A20DCE"/>
    <w:rsid w:val="00A518D6"/>
    <w:rsid w:val="00A65577"/>
    <w:rsid w:val="00A768E8"/>
    <w:rsid w:val="00A860B5"/>
    <w:rsid w:val="00A90DA1"/>
    <w:rsid w:val="00A95A65"/>
    <w:rsid w:val="00AB19A8"/>
    <w:rsid w:val="00AB20FA"/>
    <w:rsid w:val="00B056D9"/>
    <w:rsid w:val="00B21432"/>
    <w:rsid w:val="00B24C28"/>
    <w:rsid w:val="00B32E30"/>
    <w:rsid w:val="00B473C7"/>
    <w:rsid w:val="00B612DC"/>
    <w:rsid w:val="00B75990"/>
    <w:rsid w:val="00B84389"/>
    <w:rsid w:val="00BA3A4A"/>
    <w:rsid w:val="00BA7B5A"/>
    <w:rsid w:val="00BA7E86"/>
    <w:rsid w:val="00BD28B6"/>
    <w:rsid w:val="00BD775A"/>
    <w:rsid w:val="00BD7F4B"/>
    <w:rsid w:val="00BE7CAC"/>
    <w:rsid w:val="00BF0754"/>
    <w:rsid w:val="00C13E09"/>
    <w:rsid w:val="00C226A0"/>
    <w:rsid w:val="00C2410D"/>
    <w:rsid w:val="00C4074E"/>
    <w:rsid w:val="00C43E0D"/>
    <w:rsid w:val="00C4481B"/>
    <w:rsid w:val="00C51FF0"/>
    <w:rsid w:val="00C65587"/>
    <w:rsid w:val="00C71F22"/>
    <w:rsid w:val="00CA3230"/>
    <w:rsid w:val="00CA3A22"/>
    <w:rsid w:val="00CB22D7"/>
    <w:rsid w:val="00CB6EAF"/>
    <w:rsid w:val="00CD4474"/>
    <w:rsid w:val="00CD5C4B"/>
    <w:rsid w:val="00CF2A81"/>
    <w:rsid w:val="00CF6B3C"/>
    <w:rsid w:val="00D20CB5"/>
    <w:rsid w:val="00D25B5D"/>
    <w:rsid w:val="00D2613E"/>
    <w:rsid w:val="00D2788B"/>
    <w:rsid w:val="00D360F3"/>
    <w:rsid w:val="00D4524C"/>
    <w:rsid w:val="00D77347"/>
    <w:rsid w:val="00D95FBC"/>
    <w:rsid w:val="00DA2E8A"/>
    <w:rsid w:val="00DB5470"/>
    <w:rsid w:val="00DC42EA"/>
    <w:rsid w:val="00DD280E"/>
    <w:rsid w:val="00DE1CD3"/>
    <w:rsid w:val="00E10275"/>
    <w:rsid w:val="00E25CAA"/>
    <w:rsid w:val="00E43E2B"/>
    <w:rsid w:val="00E4639C"/>
    <w:rsid w:val="00E634CB"/>
    <w:rsid w:val="00E65595"/>
    <w:rsid w:val="00E75D94"/>
    <w:rsid w:val="00E806FA"/>
    <w:rsid w:val="00EB12B5"/>
    <w:rsid w:val="00EB4700"/>
    <w:rsid w:val="00ED0510"/>
    <w:rsid w:val="00ED6360"/>
    <w:rsid w:val="00EE1011"/>
    <w:rsid w:val="00EE285A"/>
    <w:rsid w:val="00F15162"/>
    <w:rsid w:val="00F24BC9"/>
    <w:rsid w:val="00F44785"/>
    <w:rsid w:val="00F744F6"/>
    <w:rsid w:val="00F81A7F"/>
    <w:rsid w:val="00F83567"/>
    <w:rsid w:val="00F8536D"/>
    <w:rsid w:val="00F8698D"/>
    <w:rsid w:val="00F92806"/>
    <w:rsid w:val="00F95D79"/>
    <w:rsid w:val="00FB4398"/>
    <w:rsid w:val="00FB469B"/>
    <w:rsid w:val="00FD4FF3"/>
    <w:rsid w:val="00FE031E"/>
    <w:rsid w:val="00FE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0FFA94-7518-4CA6-88DA-34D62B33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B02A8"/>
    <w:pPr>
      <w:spacing w:before="600" w:after="600"/>
      <w:outlineLvl w:val="0"/>
    </w:pPr>
    <w:rPr>
      <w:rFonts w:ascii="Lato" w:eastAsia="Times New Roman" w:hAnsi="Lato" w:cs="Helvetica"/>
      <w:kern w:val="36"/>
      <w:sz w:val="60"/>
      <w:szCs w:val="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A8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A8"/>
  </w:style>
  <w:style w:type="paragraph" w:styleId="a5">
    <w:name w:val="footer"/>
    <w:basedOn w:val="a"/>
    <w:link w:val="a6"/>
    <w:uiPriority w:val="99"/>
    <w:unhideWhenUsed/>
    <w:rsid w:val="005B02A8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A8"/>
  </w:style>
  <w:style w:type="character" w:customStyle="1" w:styleId="10">
    <w:name w:val="Заголовок 1 Знак"/>
    <w:basedOn w:val="a0"/>
    <w:link w:val="1"/>
    <w:uiPriority w:val="9"/>
    <w:rsid w:val="005B02A8"/>
    <w:rPr>
      <w:rFonts w:ascii="Lato" w:eastAsia="Times New Roman" w:hAnsi="Lato" w:cs="Helvetica"/>
      <w:kern w:val="36"/>
      <w:sz w:val="60"/>
      <w:szCs w:val="60"/>
    </w:rPr>
  </w:style>
  <w:style w:type="character" w:styleId="a7">
    <w:name w:val="Hyperlink"/>
    <w:basedOn w:val="a0"/>
    <w:uiPriority w:val="99"/>
    <w:unhideWhenUsed/>
    <w:rsid w:val="005B02A8"/>
    <w:rPr>
      <w:strike w:val="0"/>
      <w:dstrike w:val="0"/>
      <w:color w:val="0079C1"/>
      <w:u w:val="none"/>
      <w:effect w:val="none"/>
    </w:rPr>
  </w:style>
  <w:style w:type="character" w:styleId="a8">
    <w:name w:val="Emphasis"/>
    <w:basedOn w:val="a0"/>
    <w:uiPriority w:val="20"/>
    <w:qFormat/>
    <w:rsid w:val="005B02A8"/>
    <w:rPr>
      <w:i/>
      <w:iCs/>
    </w:rPr>
  </w:style>
  <w:style w:type="character" w:styleId="a9">
    <w:name w:val="Strong"/>
    <w:basedOn w:val="a0"/>
    <w:uiPriority w:val="22"/>
    <w:qFormat/>
    <w:rsid w:val="005B02A8"/>
    <w:rPr>
      <w:b/>
      <w:bCs/>
    </w:rPr>
  </w:style>
  <w:style w:type="paragraph" w:styleId="aa">
    <w:name w:val="Normal (Web)"/>
    <w:basedOn w:val="a"/>
    <w:uiPriority w:val="99"/>
    <w:semiHidden/>
    <w:unhideWhenUsed/>
    <w:rsid w:val="005B02A8"/>
    <w:pPr>
      <w:spacing w:after="255"/>
    </w:pPr>
    <w:rPr>
      <w:rFonts w:ascii="Lato" w:eastAsia="Times New Roman" w:hAnsi="Lato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CD4474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4B6F0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B6F0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B6F0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6F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6F04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4B6F0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B6F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697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1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1312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21229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6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ecepp.ebrd.com/delta/viewNotice.html?displayNoticeId=965533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>
  <element uid="id_classification_generalbusiness" value=""/>
  <element uid="3f2bf68e-965f-4645-8d3a-c9eb7a3821bd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77E3B-8E78-4662-8DF5-620D33F845B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EE9B876-0D5E-4309-AFBF-301544BBB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EBRD</Company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Triggs, Lorraine</dc:creator>
  <cp:keywords>[EBRD/OFFICIAL USE]</cp:keywords>
  <cp:lastModifiedBy>Смаль Леся Василівна</cp:lastModifiedBy>
  <cp:revision>11</cp:revision>
  <cp:lastPrinted>2019-09-19T06:29:00Z</cp:lastPrinted>
  <dcterms:created xsi:type="dcterms:W3CDTF">2020-01-13T07:51:00Z</dcterms:created>
  <dcterms:modified xsi:type="dcterms:W3CDTF">2020-01-14T06:17:00Z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745e8fde-ea22-47b6-9906-1065cabca3be</vt:lpwstr>
  </property>
  <property fmtid="{D5CDD505-2E9C-101B-9397-08002B2CF9AE}" pid="3" name="bjSaver">
    <vt:lpwstr>aWpu+5W/7x7RkRzK1JhYnYrHjrPMz7IW</vt:lpwstr>
  </property>
  <property fmtid="{D5CDD505-2E9C-101B-9397-08002B2CF9AE}" pid="4" name="bjDocumentSecurityLabel">
    <vt:lpwstr>OFFICIAL USE</vt:lpwstr>
  </property>
  <property fmtid="{D5CDD505-2E9C-101B-9397-08002B2CF9AE}" pid="5" name="bjDocumentLabelFieldCode">
    <vt:lpwstr>OFFICIAL USE</vt:lpwstr>
  </property>
  <property fmtid="{D5CDD505-2E9C-101B-9397-08002B2CF9AE}" pid="6" name="bjFooterBothDocProperty">
    <vt:lpwstr>OFFICIAL USE</vt:lpwstr>
  </property>
  <property fmtid="{D5CDD505-2E9C-101B-9397-08002B2CF9AE}" pid="7" name="bjFooterFirstPageDocProperty">
    <vt:lpwstr>OFFICIAL USE</vt:lpwstr>
  </property>
  <property fmtid="{D5CDD505-2E9C-101B-9397-08002B2CF9AE}" pid="8" name="bjFooterEvenPageDocProperty">
    <vt:lpwstr>OFFICIAL USE</vt:lpwstr>
  </property>
  <property fmtid="{D5CDD505-2E9C-101B-9397-08002B2CF9AE}" pid="9" name="bjHeaderBothDocProperty">
    <vt:lpwstr>OFFICIAL USE</vt:lpwstr>
  </property>
  <property fmtid="{D5CDD505-2E9C-101B-9397-08002B2CF9AE}" pid="10" name="bjHeaderFirstPageDocProperty">
    <vt:lpwstr>OFFICIAL USE</vt:lpwstr>
  </property>
  <property fmtid="{D5CDD505-2E9C-101B-9397-08002B2CF9AE}" pid="11" name="bjHeaderEvenPageDocProperty">
    <vt:lpwstr>OFFICIAL USE</vt:lpwstr>
  </property>
  <property fmtid="{D5CDD505-2E9C-101B-9397-08002B2CF9AE}" pid="12" name="bjDocumentLabelXML">
    <vt:lpwstr>&lt;?xml version="1.0" encoding="us-ascii"?&gt;&lt;sisl xmlns:xsi="http://www.w3.org/2001/XMLSchema-instance" xmlns:xsd="http://www.w3.org/2001/XMLSchema" sislVersion="0" policy="1d45786f-a737-4735-8af6-df12fb6939a2" origin="userSelected" xmlns="http://www.boldonj</vt:lpwstr>
  </property>
  <property fmtid="{D5CDD505-2E9C-101B-9397-08002B2CF9AE}" pid="13" name="bjDocumentLabelXML-0">
    <vt:lpwstr>ames.com/2008/01/sie/internal/label"&gt;&lt;element uid="id_classification_generalbusiness" value="" /&gt;&lt;element uid="3f2bf68e-965f-4645-8d3a-c9eb7a3821bd" value="" /&gt;&lt;/sisl&gt;</vt:lpwstr>
  </property>
</Properties>
</file>