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43E" w:rsidRDefault="007F443E"/>
    <w:p w:rsidR="007F443E" w:rsidRPr="007F443E" w:rsidRDefault="007F443E" w:rsidP="007F44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F443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5697F4ED" wp14:editId="38407D5E">
            <wp:extent cx="698500" cy="832485"/>
            <wp:effectExtent l="0" t="0" r="6350" b="571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43E" w:rsidRPr="007F443E" w:rsidRDefault="007F443E" w:rsidP="007F443E">
      <w:pPr>
        <w:keepNext/>
        <w:shd w:val="clear" w:color="auto" w:fill="FFFFFF"/>
        <w:spacing w:before="240" w:after="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40"/>
          <w:szCs w:val="40"/>
          <w:lang w:eastAsia="ru-RU"/>
        </w:rPr>
      </w:pPr>
      <w:r w:rsidRPr="007F443E">
        <w:rPr>
          <w:rFonts w:ascii="Verdana" w:eastAsia="Times New Roman" w:hAnsi="Verdana" w:cs="Times New Roman"/>
          <w:b/>
          <w:bCs/>
          <w:smallCaps/>
          <w:color w:val="000000"/>
          <w:sz w:val="16"/>
          <w:szCs w:val="16"/>
          <w:lang w:val="uk-UA" w:eastAsia="ru-RU"/>
        </w:rPr>
        <w:t>КАБІНЕТ МІНІСТРІВ УКРАЇНИ</w:t>
      </w:r>
    </w:p>
    <w:p w:rsidR="007F443E" w:rsidRPr="007F443E" w:rsidRDefault="007F443E" w:rsidP="007F443E">
      <w:pPr>
        <w:keepNext/>
        <w:shd w:val="clear" w:color="auto" w:fill="FFFFFF"/>
        <w:spacing w:before="36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pacing w:val="2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b/>
          <w:bCs/>
          <w:color w:val="000000"/>
          <w:spacing w:val="20"/>
          <w:sz w:val="16"/>
          <w:szCs w:val="16"/>
          <w:lang w:val="uk-UA" w:eastAsia="ru-RU"/>
        </w:rPr>
        <w:t>ПОСТАНОВА</w:t>
      </w:r>
    </w:p>
    <w:p w:rsidR="007F443E" w:rsidRPr="007F443E" w:rsidRDefault="007F443E" w:rsidP="007F443E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від 24 лютого 2016 р.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№ 117</w:t>
      </w:r>
    </w:p>
    <w:p w:rsidR="007F443E" w:rsidRPr="007F443E" w:rsidRDefault="007F443E" w:rsidP="007F443E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Київ</w:t>
      </w:r>
    </w:p>
    <w:p w:rsidR="007F443E" w:rsidRPr="007F443E" w:rsidRDefault="007F443E" w:rsidP="007F443E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t>Про затвердження Порядку видачі або відмови у видачі, </w:t>
      </w:r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br/>
        <w:t>переоформлення, видачі дублікатів, анулювання свідоцтва </w:t>
      </w:r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br/>
        <w:t>про уповноваження на проведення повірки засобів </w:t>
      </w:r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br/>
        <w:t>вимірювальної техніки, що перебувають в експлуатації та </w:t>
      </w:r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br/>
        <w:t>застосовуються у сфері законодавчо регульованої метрології, </w:t>
      </w:r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br/>
        <w:t>та встановлення розміру плати за видачу свідоцтва про </w:t>
      </w:r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br/>
        <w:t>уповноваження, його переоформлення та видачу дубліката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Відповідно до статті 18 Закону України “Про метрологію та метрологічну діяльність” та статті 4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vertAlign w:val="superscript"/>
          <w:lang w:val="uk-UA" w:eastAsia="ru-RU"/>
        </w:rPr>
        <w:t>1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Закону України “Про дозвільну систему у сфері господарської діяльності” Кабінет Міністрів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України</w:t>
      </w:r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t>постановляє</w:t>
      </w:r>
      <w:proofErr w:type="spellEnd"/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t>: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1. Затвердити такі, що додаються:</w:t>
      </w:r>
    </w:p>
    <w:p w:rsidR="007F443E" w:rsidRPr="007F443E" w:rsidRDefault="007F443E" w:rsidP="007F443E">
      <w:pPr>
        <w:shd w:val="clear" w:color="auto" w:fill="FFFFFF"/>
        <w:spacing w:before="6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Порядок видачі або відмови у видачі, переоформлення, видачі дублікатів, анулювання свідоцтва про уповноваження на проведення повірки засобів вимірювальної техніки, що перебувають в експлуатації та застосовуються у сфері законодавчо регульованої метрології;</w:t>
      </w:r>
    </w:p>
    <w:p w:rsidR="007F443E" w:rsidRPr="007F443E" w:rsidRDefault="007F443E" w:rsidP="007F443E">
      <w:pPr>
        <w:shd w:val="clear" w:color="auto" w:fill="FFFFFF"/>
        <w:spacing w:before="6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розміри плати за видачу свідоцтва про уповноваження, його переоформлення та видачу дубліката.</w:t>
      </w:r>
    </w:p>
    <w:p w:rsidR="007F443E" w:rsidRPr="007F443E" w:rsidRDefault="007F443E" w:rsidP="007F443E">
      <w:pPr>
        <w:shd w:val="clear" w:color="auto" w:fill="FFFFFF"/>
        <w:spacing w:before="6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2. Установити, що пункт 3 Порядку, затвердженого цією постановою, діє до набрання чинності змінами до Закону України “Про метрологію та метрологічну діяльність” в частині визначення переліку документів, які необхідні для отримання свідоцтва про уповноваження на проведення повірки засобів вимірювальної техніки, що перебувають в експлуатації та застосовуються у сфері законодавчо регульованої метрології.</w:t>
      </w:r>
    </w:p>
    <w:p w:rsidR="007F443E" w:rsidRPr="007F443E" w:rsidRDefault="007F443E" w:rsidP="007F443E">
      <w:pPr>
        <w:shd w:val="clear" w:color="auto" w:fill="FFFFFF"/>
        <w:spacing w:before="400" w:after="0" w:line="240" w:lineRule="auto"/>
        <w:ind w:firstLine="851"/>
        <w:jc w:val="both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val="uk-UA" w:eastAsia="ru-RU"/>
        </w:rPr>
        <w:t>Прем’єр-міністр України                                                       А. ЯЦЕНЮК</w:t>
      </w:r>
    </w:p>
    <w:p w:rsidR="007F443E" w:rsidRPr="007F443E" w:rsidRDefault="007F443E" w:rsidP="007F443E">
      <w:pPr>
        <w:shd w:val="clear" w:color="auto" w:fill="FFFFFF"/>
        <w:spacing w:before="1000" w:after="0" w:line="240" w:lineRule="auto"/>
        <w:jc w:val="both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Інд. 75</w:t>
      </w:r>
    </w:p>
    <w:p w:rsidR="007F443E" w:rsidRPr="007F443E" w:rsidRDefault="007F443E" w:rsidP="007F443E">
      <w:pPr>
        <w:shd w:val="clear" w:color="auto" w:fill="FFFFFF"/>
        <w:spacing w:before="1000" w:after="0" w:line="240" w:lineRule="auto"/>
        <w:jc w:val="both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 </w:t>
      </w:r>
    </w:p>
    <w:p w:rsidR="007F443E" w:rsidRPr="007F443E" w:rsidRDefault="007F443E" w:rsidP="007F443E">
      <w:pPr>
        <w:keepNext/>
        <w:shd w:val="clear" w:color="auto" w:fill="FFFFFF"/>
        <w:spacing w:after="240" w:line="240" w:lineRule="auto"/>
        <w:ind w:left="4689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 w:type="page"/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lastRenderedPageBreak/>
        <w:t>ЗАТВЕРДЖЕНО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постановою Кабінету Міністрів України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від 24 лютого 2016 р. № 117</w:t>
      </w:r>
    </w:p>
    <w:p w:rsidR="007F443E" w:rsidRPr="007F443E" w:rsidRDefault="007F443E" w:rsidP="007F443E">
      <w:pPr>
        <w:keepNext/>
        <w:shd w:val="clear" w:color="auto" w:fill="FFFFFF"/>
        <w:spacing w:before="24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ПОРЯДОК</w:t>
      </w:r>
      <w:bookmarkStart w:id="0" w:name="o18"/>
      <w:bookmarkEnd w:id="0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видачі або відмови у видачі, переоформлення, видачі дублікатів,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анулювання свідоцтва про уповноваження на проведення повірки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засобів вимірювальної техніки, що перебувають в експлуатації та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застосовуються у сфері законодавчо регульованої метрології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1. Цей Порядок визначає процедуру видачі або відмови у видачі, переоформлення, видачі дубліката, анулювання свідоцтва про уповноваження на проведення повірки засобів вимірювальної техніки, що перебувають в експлуатації та застосовуються у сфері законодавчо регульованої метрології (далі — свідоцтво про уповноваження).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bookmarkStart w:id="1" w:name="o19"/>
      <w:bookmarkStart w:id="2" w:name="o20"/>
      <w:bookmarkStart w:id="3" w:name="o21"/>
      <w:bookmarkStart w:id="4" w:name="o22"/>
      <w:bookmarkEnd w:id="1"/>
      <w:bookmarkEnd w:id="2"/>
      <w:bookmarkEnd w:id="3"/>
      <w:bookmarkEnd w:id="4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2. З метою проведення повірки засобів вимірювальної техніки, що перебувають в експлуатації та застосовуються у сфері законодавчо регульованої метрології (далі — повірка засобів вимірювальної техніки), науковим метрологічним центрам, державним підприємствам, які належать до сфери управління Мінекономрозвитку та провадять метрологічну діяльність (далі — метрологічні центри), та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повірочним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лабораторіям необхідно одержати свідоцтво про уповноваження, що видається Мінекономрозвитку.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3. Для одержання свідоцтва про уповноваження науковий метрологічний центр, метрологічний центр,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повірочна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лабораторія (особисто або через уповноважену ними особу, поштою) подає Мінекономрозвитку заяву про видачу свідоцтва про уповноваження (далі — заява).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У заяві зазначаються: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повне найменування </w:t>
      </w:r>
      <w:bookmarkStart w:id="5" w:name="o205"/>
      <w:bookmarkStart w:id="6" w:name="o206"/>
      <w:bookmarkStart w:id="7" w:name="o207"/>
      <w:bookmarkEnd w:id="5"/>
      <w:bookmarkEnd w:id="6"/>
      <w:bookmarkEnd w:id="7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наукового метрологічного центру, метрологічного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повірочної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повне найменування Мінекономрозвитку;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назва свідоцтва про уповноваження;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об’єкт, на який видається свідоцтво про уповноваження;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вид господарської діяльності (згідно з класифікатором видів економічної діяльності)</w:t>
      </w:r>
      <w:bookmarkStart w:id="8" w:name="o208"/>
      <w:bookmarkStart w:id="9" w:name="o209"/>
      <w:bookmarkEnd w:id="8"/>
      <w:bookmarkEnd w:id="9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ідентифікаційний код юридичної особи;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bookmarkStart w:id="10" w:name="o210"/>
      <w:bookmarkEnd w:id="10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місцезнаходження юридичної особи та її контактні дані (адреса електронної поштової скриньки, номери телефону, телефаксу (за наявності);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bookmarkStart w:id="11" w:name="o211"/>
      <w:bookmarkStart w:id="12" w:name="o212"/>
      <w:bookmarkEnd w:id="11"/>
      <w:bookmarkEnd w:id="12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прізвище, ім’я та по батькові керівника юридичної особи</w:t>
      </w:r>
      <w:bookmarkStart w:id="13" w:name="o213"/>
      <w:bookmarkEnd w:id="13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дата складення заяви</w:t>
      </w:r>
      <w:bookmarkStart w:id="14" w:name="o214"/>
      <w:bookmarkEnd w:id="14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перелік документів, що додаються до заяви</w:t>
      </w:r>
      <w:bookmarkStart w:id="15" w:name="o215"/>
      <w:bookmarkEnd w:id="15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спосіб одержання свідоцтва про уповноваження (особисто/поштою/ за допомогою засобів телекомунікацій (електронною поштою).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Якщо уповноважується відокремлений структурний підрозділ юридичної особи, заява подається підприємством, установою чи організацією, до яких належить цей підрозділ.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До заяви додаються такі документи: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статут наукового метрологічного центру, метрологічного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повірочної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лабораторії. Для відокремленого структурного підрозділу юридичної особи — статут (положення) підприємства, установи чи організації, до яких він належить;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паспорт структурного підрозділу наукового метрологічного центру, метрологічного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повірочної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 або їх відокремленого структурного підрозділу, який буде виконувати роботи з повірки засобів вимірювальної техніки;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bookmarkStart w:id="16" w:name="o287"/>
      <w:bookmarkEnd w:id="16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настанова з якості структурного підрозділу наукового метрологічного центру, метрологічного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повірочної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 або їх відокремленого структурного підрозділу, який буде виконувати роботи з повірки засобів вимірювальної техніки;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bookmarkStart w:id="17" w:name="o288"/>
      <w:bookmarkEnd w:id="17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проект галузі уповноваження наукового метрологічного центру, метрологічного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повірочної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 на проведення повірки засобів вимірювальної техніки, який повинен містити відомості про категорії законодавчо регульованих засобів вимірювальної техніки, що перебувають в експлуатації, та їх метрологічні характеристики, підписаний керівником наукового метрологічного центру, метрологічного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повірочної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лабораторії. Для відокремленого структурного підрозділу проект галузі уповноваження підписується керівником такого підприємства, установи чи організації;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копія документа, що підтверджує право власності на приміщення або копія договору оренди приміщення, укладеного не менш як на п’ять років (у разі, коли науковий метрологічний центр, метрологічний центр,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повірочна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лабораторія не має власного приміщення, необхідного для проведення повірки засобів вимірювальної техніки відповідно до заявленої галузі уповноваження);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lastRenderedPageBreak/>
        <w:t xml:space="preserve">висновок аудитора з метрології, атестованого у порядку, встановленому Мінекономрозвитку, щодо відповідності наукового метрологічного центру, метрологічного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повірочної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 встановленим критеріям уповноваження на проведення повірки засобів вимірювальної техніки;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платіжний документ (платіжне доручення, квитанція) про сплату коштів за видачу свідоцтва про уповноваження з відміткою банку, відділення поштового зв’язку або кодом проведення операції.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Форма висновку аудитора з метрології, вимоги до структури та змісту документів, що додаються до заяви, встановлюються Мінекономрозвитку.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4. Мінекономрозвитку протягом 60 робочих днів після надходження заяви: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bookmarkStart w:id="18" w:name="n198"/>
      <w:bookmarkEnd w:id="18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проводить аналіз поданих науковим метрологічним центром, метрологічним центром,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повірочною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лабораторією документів та перевіряє достовірність і повноту відомостей</w:t>
      </w:r>
      <w:bookmarkStart w:id="19" w:name="n199"/>
      <w:bookmarkEnd w:id="19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проводить перевірку наукового метрологічного центру, метрологічного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повірочної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 на відповідність установленим критеріям;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видає за встановленою ним формою науковому метрологічному центру, метрологічному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повірочній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 свідоцтво про уповноваження;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повертає у разі відмови в уповноваженні науковому метрологічному центру, метрологічному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повірочній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 документи разом з вмотивованим висновком.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Галузь уповноваження є невід’ємною частиною свідоцтва про уповноваження.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Строк дії свідоцтва про уповноваження становить п’ять років.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Після одержання свідоцтва про уповноваження науковий метрологічний центр, метрологічний центр,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повірочна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лабораторія стають уповноваженими підприємствами, організаціями, відокремленими структурними підрозділами.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5. Мінекономрозвитку включає уповноважені підприємства, організації, відокремлені структурні підрозділи до Державного реєстру наукових метрологічних центрів, метрологічних центрів і повірочних лабораторій, уповноважених на проведення повірки засобів вимірювальної техніки, забезпечує постійне оновлення Реєстру, доступність Реєстру в електронній та/або іншій формі для громадськості та оприлюднення інформації на своєму офіційному веб-сайті.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6. Відмова у видачі свідоцтва, його переоформлення, видача дубліката та анулювання свідоцтва про уповноваження здійснюються відповідно до вимог статті 18 Закону України “Про метрологію та метрологічну діяльність” та статті 4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vertAlign w:val="superscript"/>
          <w:lang w:val="uk-UA" w:eastAsia="ru-RU"/>
        </w:rPr>
        <w:t>1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 Закону України “Про дозвільну систему у сфері господарської діяльності”.</w:t>
      </w:r>
    </w:p>
    <w:p w:rsidR="007F443E" w:rsidRPr="007F443E" w:rsidRDefault="007F443E" w:rsidP="007F443E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У разі відмови у видачі свідоцтва про уповноваження Мінекономрозвитку в установленому законодавством порядку повертає науковому метрологічному центру, метрологічному центру, </w:t>
      </w:r>
      <w:proofErr w:type="spellStart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повірочній</w:t>
      </w:r>
      <w:proofErr w:type="spellEnd"/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 xml:space="preserve"> лабораторії кошти, одержані за бланк свідоцтва про уповноваження.</w:t>
      </w:r>
    </w:p>
    <w:p w:rsidR="007F443E" w:rsidRPr="007F443E" w:rsidRDefault="007F443E" w:rsidP="007F443E">
      <w:pPr>
        <w:keepNext/>
        <w:shd w:val="clear" w:color="auto" w:fill="FFFFFF"/>
        <w:spacing w:after="0" w:line="240" w:lineRule="auto"/>
        <w:jc w:val="center"/>
        <w:outlineLvl w:val="2"/>
        <w:rPr>
          <w:rFonts w:ascii="Antiqua" w:eastAsia="Times New Roman" w:hAnsi="Antiqua" w:cs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_____________________</w:t>
      </w:r>
    </w:p>
    <w:p w:rsidR="007F443E" w:rsidRPr="007F443E" w:rsidRDefault="007F443E" w:rsidP="007F4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443E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 </w:t>
      </w:r>
    </w:p>
    <w:p w:rsidR="007F443E" w:rsidRPr="007F443E" w:rsidRDefault="007F443E" w:rsidP="007F4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443E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 </w:t>
      </w:r>
    </w:p>
    <w:p w:rsidR="007F443E" w:rsidRPr="007F443E" w:rsidRDefault="007F443E" w:rsidP="007F4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443E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 </w:t>
      </w:r>
    </w:p>
    <w:p w:rsidR="007F443E" w:rsidRPr="007F443E" w:rsidRDefault="007F443E" w:rsidP="007F4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443E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 </w:t>
      </w:r>
    </w:p>
    <w:p w:rsidR="007F443E" w:rsidRPr="007F443E" w:rsidRDefault="007F443E" w:rsidP="007F4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443E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 </w:t>
      </w:r>
    </w:p>
    <w:p w:rsidR="007F443E" w:rsidRPr="007F443E" w:rsidRDefault="007F443E" w:rsidP="007F443E">
      <w:pPr>
        <w:keepNext/>
        <w:shd w:val="clear" w:color="auto" w:fill="FFFFFF"/>
        <w:spacing w:after="240" w:line="240" w:lineRule="auto"/>
        <w:ind w:left="4689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br w:type="page"/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lastRenderedPageBreak/>
        <w:t>ЗАТВЕРДЖЕНО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постановою Кабінету Міністрів України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від 24 лютого 2016 р. № 117</w:t>
      </w:r>
    </w:p>
    <w:p w:rsidR="007F443E" w:rsidRPr="007F443E" w:rsidRDefault="007F443E" w:rsidP="007F443E">
      <w:pPr>
        <w:keepNext/>
        <w:shd w:val="clear" w:color="auto" w:fill="FFFFFF"/>
        <w:spacing w:before="24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РОЗМІРИ ПЛАТИ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за видачу свідоцтва про уповноваження, його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переоформлення та видачу дубліката свідоцтва </w:t>
      </w: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br/>
        <w:t>про уповноваження*</w:t>
      </w:r>
    </w:p>
    <w:tbl>
      <w:tblPr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4111"/>
      </w:tblGrid>
      <w:tr w:rsidR="007F443E" w:rsidRPr="007F443E" w:rsidTr="007F443E">
        <w:tc>
          <w:tcPr>
            <w:tcW w:w="5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Кількість категорій законодавчо регульованих засобів вимірювальної техніки в галузі уповноваження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Розмір плати</w:t>
            </w: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br/>
              <w:t>(мінімальна заробітна плата)**</w:t>
            </w:r>
          </w:p>
        </w:tc>
      </w:tr>
      <w:tr w:rsidR="007F443E" w:rsidRPr="007F443E" w:rsidTr="007F443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до 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6,1</w:t>
            </w:r>
          </w:p>
        </w:tc>
      </w:tr>
      <w:tr w:rsidR="007F443E" w:rsidRPr="007F443E" w:rsidTr="007F443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до 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7,2</w:t>
            </w:r>
          </w:p>
        </w:tc>
      </w:tr>
      <w:tr w:rsidR="007F443E" w:rsidRPr="007F443E" w:rsidTr="007F443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до 10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10,1</w:t>
            </w:r>
          </w:p>
        </w:tc>
      </w:tr>
      <w:tr w:rsidR="007F443E" w:rsidRPr="007F443E" w:rsidTr="007F443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до 20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14</w:t>
            </w:r>
          </w:p>
        </w:tc>
      </w:tr>
      <w:tr w:rsidR="007F443E" w:rsidRPr="007F443E" w:rsidTr="007F443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до 30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19,2</w:t>
            </w:r>
          </w:p>
        </w:tc>
      </w:tr>
      <w:tr w:rsidR="007F443E" w:rsidRPr="007F443E" w:rsidTr="007F443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до 50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25,3</w:t>
            </w:r>
          </w:p>
        </w:tc>
      </w:tr>
      <w:tr w:rsidR="007F443E" w:rsidRPr="007F443E" w:rsidTr="007F443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понад 50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43E" w:rsidRPr="007F443E" w:rsidRDefault="007F443E" w:rsidP="007F443E">
            <w:pPr>
              <w:spacing w:before="120"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6"/>
                <w:lang w:eastAsia="ru-RU"/>
              </w:rPr>
            </w:pPr>
            <w:r w:rsidRPr="007F443E">
              <w:rPr>
                <w:rFonts w:ascii="Verdana" w:eastAsia="Times New Roman" w:hAnsi="Verdana" w:cs="Times New Roman"/>
                <w:sz w:val="16"/>
                <w:szCs w:val="16"/>
                <w:lang w:val="uk-UA" w:eastAsia="ru-RU"/>
              </w:rPr>
              <w:t>33,9</w:t>
            </w:r>
          </w:p>
        </w:tc>
      </w:tr>
    </w:tbl>
    <w:p w:rsidR="007F443E" w:rsidRPr="007F443E" w:rsidRDefault="007F443E" w:rsidP="007F443E">
      <w:pPr>
        <w:shd w:val="clear" w:color="auto" w:fill="FFFFFF"/>
        <w:spacing w:before="120" w:after="0" w:line="240" w:lineRule="auto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___________</w:t>
      </w:r>
    </w:p>
    <w:p w:rsidR="007F443E" w:rsidRPr="007F443E" w:rsidRDefault="007F443E" w:rsidP="007F443E">
      <w:pPr>
        <w:shd w:val="clear" w:color="auto" w:fill="FFFFFF"/>
        <w:spacing w:after="0" w:line="240" w:lineRule="auto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* За переоформлення та видачу дубліката свідоцтва про уповноваження справляється плата в розмірі 0,3 мінімальної заробітної плати.</w:t>
      </w:r>
    </w:p>
    <w:p w:rsidR="007F443E" w:rsidRPr="007F443E" w:rsidRDefault="007F443E" w:rsidP="007F443E">
      <w:pPr>
        <w:shd w:val="clear" w:color="auto" w:fill="FFFFFF"/>
        <w:spacing w:before="60" w:after="0" w:line="240" w:lineRule="auto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** З урахуванням вартості бланка свідоцтва про уповноваження в розмірі 0,3 мінімальної заробітної плати.</w:t>
      </w:r>
    </w:p>
    <w:p w:rsidR="007F443E" w:rsidRPr="007F443E" w:rsidRDefault="007F443E" w:rsidP="007F443E">
      <w:pPr>
        <w:keepNext/>
        <w:shd w:val="clear" w:color="auto" w:fill="FFFFFF"/>
        <w:spacing w:before="480" w:after="100" w:line="240" w:lineRule="auto"/>
        <w:jc w:val="center"/>
        <w:outlineLvl w:val="2"/>
        <w:rPr>
          <w:rFonts w:ascii="Antiqua" w:eastAsia="Times New Roman" w:hAnsi="Antiqua" w:cs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7F443E"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  <w:t>_____________________</w:t>
      </w:r>
    </w:p>
    <w:p w:rsidR="00BD0972" w:rsidRPr="007F443E" w:rsidRDefault="00BD0972" w:rsidP="007F443E">
      <w:bookmarkStart w:id="20" w:name="_GoBack"/>
      <w:bookmarkEnd w:id="20"/>
    </w:p>
    <w:sectPr w:rsidR="00BD0972" w:rsidRPr="007F4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35F"/>
    <w:rsid w:val="007F443E"/>
    <w:rsid w:val="00BD0972"/>
    <w:rsid w:val="00D6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E56B8-4CE6-48BB-92B9-7430B532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16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Мінаєв Василь Васильович</dc:creator>
  <cp:keywords/>
  <dc:description/>
  <cp:lastModifiedBy>Мінаєв Василь Васильович</cp:lastModifiedBy>
  <cp:revision>2</cp:revision>
  <dcterms:created xsi:type="dcterms:W3CDTF">2016-02-29T14:25:00Z</dcterms:created>
  <dcterms:modified xsi:type="dcterms:W3CDTF">2016-02-29T14:25:00Z</dcterms:modified>
</cp:coreProperties>
</file>