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65F" w:rsidRDefault="002C065F"/>
    <w:p w:rsidR="00AF5A8C" w:rsidRPr="00AF5A8C" w:rsidRDefault="00AF5A8C" w:rsidP="00AF5A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F5A8C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 wp14:anchorId="06738094" wp14:editId="4B53C574">
            <wp:extent cx="692150" cy="831850"/>
            <wp:effectExtent l="0" t="0" r="0" b="6350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A8C" w:rsidRPr="00620160" w:rsidRDefault="00AF5A8C" w:rsidP="00AF5A8C">
      <w:pPr>
        <w:keepNext/>
        <w:shd w:val="clear" w:color="auto" w:fill="FFFFFF"/>
        <w:spacing w:before="240" w:after="0" w:line="240" w:lineRule="auto"/>
        <w:jc w:val="center"/>
        <w:rPr>
          <w:rFonts w:ascii="Antiqua" w:eastAsia="Times New Roman" w:hAnsi="Antiqua" w:cs="Times New Roman"/>
          <w:b/>
          <w:bCs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b/>
          <w:bCs/>
          <w:smallCaps/>
          <w:color w:val="000000"/>
          <w:sz w:val="24"/>
          <w:szCs w:val="24"/>
          <w:lang w:val="uk-UA"/>
        </w:rPr>
        <w:t>КАБІНЕТ МІНІСТРІВ УКРАЇНИ</w:t>
      </w:r>
    </w:p>
    <w:p w:rsidR="00AF5A8C" w:rsidRPr="00620160" w:rsidRDefault="00AF5A8C" w:rsidP="00AF5A8C">
      <w:pPr>
        <w:keepNext/>
        <w:shd w:val="clear" w:color="auto" w:fill="FFFFFF"/>
        <w:spacing w:before="360" w:after="240" w:line="240" w:lineRule="auto"/>
        <w:jc w:val="center"/>
        <w:rPr>
          <w:rFonts w:ascii="Antiqua" w:eastAsia="Times New Roman" w:hAnsi="Antiqua" w:cs="Times New Roman"/>
          <w:b/>
          <w:bCs/>
          <w:color w:val="000000"/>
          <w:spacing w:val="20"/>
          <w:sz w:val="24"/>
          <w:szCs w:val="24"/>
        </w:rPr>
      </w:pPr>
      <w:r w:rsidRPr="00620160">
        <w:rPr>
          <w:rFonts w:ascii="Verdana" w:eastAsia="Times New Roman" w:hAnsi="Verdana" w:cs="Times New Roman"/>
          <w:b/>
          <w:bCs/>
          <w:color w:val="000000"/>
          <w:spacing w:val="20"/>
          <w:sz w:val="24"/>
          <w:szCs w:val="24"/>
          <w:lang w:val="uk-UA"/>
        </w:rPr>
        <w:t>ПОСТАНОВА</w:t>
      </w:r>
    </w:p>
    <w:p w:rsidR="00AF5A8C" w:rsidRPr="00620160" w:rsidRDefault="00AF5A8C" w:rsidP="00AF5A8C">
      <w:pPr>
        <w:keepNext/>
        <w:shd w:val="clear" w:color="auto" w:fill="FFFFFF"/>
        <w:spacing w:before="120" w:after="240" w:line="240" w:lineRule="auto"/>
        <w:jc w:val="center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від 28 жовтня 2015 р.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</w:rPr>
        <w:t>№ 865</w:t>
      </w:r>
    </w:p>
    <w:p w:rsidR="00AF5A8C" w:rsidRPr="00620160" w:rsidRDefault="00AF5A8C" w:rsidP="00AF5A8C">
      <w:pPr>
        <w:keepNext/>
        <w:shd w:val="clear" w:color="auto" w:fill="FFFFFF"/>
        <w:spacing w:before="120" w:after="240" w:line="240" w:lineRule="auto"/>
        <w:jc w:val="center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Київ</w:t>
      </w:r>
    </w:p>
    <w:p w:rsidR="00AF5A8C" w:rsidRPr="00620160" w:rsidRDefault="00AF5A8C" w:rsidP="00AF5A8C">
      <w:pPr>
        <w:keepNext/>
        <w:shd w:val="clear" w:color="auto" w:fill="FFFFFF"/>
        <w:spacing w:before="120" w:after="240" w:line="240" w:lineRule="auto"/>
        <w:jc w:val="center"/>
        <w:rPr>
          <w:rFonts w:ascii="Antiqua" w:eastAsia="Times New Roman" w:hAnsi="Antiqua" w:cs="Times New Roman"/>
          <w:b/>
          <w:bCs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uk-UA"/>
        </w:rPr>
        <w:t>Про затвердження Порядку оплати робіт і послуг </w:t>
      </w:r>
      <w:r w:rsidRPr="00620160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uk-UA"/>
        </w:rPr>
        <w:br/>
        <w:t>з проведення оцінки відповідності законодавчо регульованих </w:t>
      </w:r>
      <w:r w:rsidRPr="00620160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uk-UA"/>
        </w:rPr>
        <w:br/>
        <w:t>засобів вимірювальної техніки вимогам технічних регламентів, </w:t>
      </w:r>
      <w:r w:rsidRPr="00620160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uk-UA"/>
        </w:rPr>
        <w:br/>
        <w:t>повірки зазначених засобів, що перебувають в експлуатації, </w:t>
      </w:r>
      <w:r w:rsidRPr="00620160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uk-UA"/>
        </w:rPr>
        <w:br/>
        <w:t>та визначення вартості таких робіт і послуг</w:t>
      </w:r>
    </w:p>
    <w:p w:rsidR="00AF5A8C" w:rsidRPr="00620160" w:rsidRDefault="00AF5A8C" w:rsidP="00AF5A8C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Відповідно до статті 29 Закону України від 5 червня 2014 р. № 1314-VII “Про метрологію та метрологічну діяльність” Кабінет Міністрів України </w:t>
      </w:r>
      <w:r w:rsidRPr="00620160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uk-UA"/>
        </w:rPr>
        <w:t>постановляє:</w:t>
      </w:r>
    </w:p>
    <w:p w:rsidR="00AF5A8C" w:rsidRPr="00620160" w:rsidRDefault="00AF5A8C" w:rsidP="00AF5A8C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1. Затвердити Порядок оплати робіт і послуг з проведення оцінки відповідності законодавчо регульованих засобів вимірювальної техніки вимогам технічних регламентів, повірки зазначених засобів, що перебувають в експлуатації, та визначення вартості таких робіт і послуг, що додається.</w:t>
      </w:r>
    </w:p>
    <w:p w:rsidR="00AF5A8C" w:rsidRPr="00620160" w:rsidRDefault="00AF5A8C" w:rsidP="00AF5A8C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2. Визнати такою, що втратила чинність, постанову Кабінету Міністрів України від 29 серпня 2012 р. № 805 “Про затвердження Порядку оплати метрологічних робіт і послуг та визнання такими, що втратили чинність, деяких постанов Кабінету Міністрів України” (Офіційний вісник України, 2012 р., № 65, ст. 2666).</w:t>
      </w:r>
    </w:p>
    <w:p w:rsidR="00AF5A8C" w:rsidRPr="00620160" w:rsidRDefault="00AF5A8C" w:rsidP="00AF5A8C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3. Ця постанова набирає чинності одночасно з набранням чинності Законом України від 5 червня 2014 р. № 1314-VII “Про метрологію та метрологічну діяльність”.</w:t>
      </w:r>
    </w:p>
    <w:p w:rsidR="00AF5A8C" w:rsidRPr="00620160" w:rsidRDefault="00AF5A8C" w:rsidP="00AF5A8C">
      <w:pPr>
        <w:shd w:val="clear" w:color="auto" w:fill="FFFFFF"/>
        <w:spacing w:before="400" w:after="0" w:line="240" w:lineRule="auto"/>
        <w:ind w:firstLine="709"/>
        <w:jc w:val="both"/>
        <w:rPr>
          <w:rFonts w:ascii="Antiqua" w:eastAsia="Times New Roman" w:hAnsi="Antiqua" w:cs="Times New Roman"/>
          <w:b/>
          <w:bCs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uk-UA"/>
        </w:rPr>
        <w:t>Прем’єр-міністр України                   </w:t>
      </w:r>
      <w:bookmarkStart w:id="0" w:name="_GoBack"/>
      <w:bookmarkEnd w:id="0"/>
      <w:r w:rsidRPr="00620160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uk-UA"/>
        </w:rPr>
        <w:t>                               А. ЯЦЕНЮК</w:t>
      </w:r>
    </w:p>
    <w:p w:rsidR="00AF5A8C" w:rsidRPr="00620160" w:rsidRDefault="00AF5A8C" w:rsidP="00AF5A8C">
      <w:pPr>
        <w:shd w:val="clear" w:color="auto" w:fill="FFFFFF"/>
        <w:spacing w:before="960" w:after="0" w:line="240" w:lineRule="auto"/>
        <w:jc w:val="both"/>
        <w:rPr>
          <w:rFonts w:ascii="Antiqua" w:eastAsia="Times New Roman" w:hAnsi="Antiqua" w:cs="Times New Roman"/>
          <w:b/>
          <w:bCs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Інд. 75</w:t>
      </w:r>
    </w:p>
    <w:p w:rsidR="00AF5A8C" w:rsidRPr="00620160" w:rsidRDefault="00AF5A8C" w:rsidP="00AF5A8C">
      <w:pPr>
        <w:keepNext/>
        <w:shd w:val="clear" w:color="auto" w:fill="FFFFFF"/>
        <w:spacing w:after="240" w:line="240" w:lineRule="auto"/>
        <w:ind w:left="4689"/>
        <w:jc w:val="center"/>
        <w:rPr>
          <w:rFonts w:ascii="Antiqua" w:eastAsia="Times New Roman" w:hAnsi="Antiqua" w:cs="Times New Roman"/>
          <w:color w:val="000000"/>
          <w:sz w:val="24"/>
          <w:szCs w:val="24"/>
        </w:rPr>
      </w:pPr>
    </w:p>
    <w:p w:rsidR="00AF5A8C" w:rsidRPr="00620160" w:rsidRDefault="00AF5A8C" w:rsidP="00AF5A8C">
      <w:pPr>
        <w:keepNext/>
        <w:shd w:val="clear" w:color="auto" w:fill="FFFFFF"/>
        <w:spacing w:after="240" w:line="240" w:lineRule="auto"/>
        <w:ind w:left="4689"/>
        <w:jc w:val="center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 </w:t>
      </w:r>
    </w:p>
    <w:p w:rsidR="00AF5A8C" w:rsidRPr="00620160" w:rsidRDefault="00AF5A8C" w:rsidP="00AF5A8C">
      <w:pPr>
        <w:keepNext/>
        <w:shd w:val="clear" w:color="auto" w:fill="FFFFFF"/>
        <w:spacing w:after="240" w:line="240" w:lineRule="auto"/>
        <w:ind w:left="4689"/>
        <w:jc w:val="center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 </w:t>
      </w:r>
    </w:p>
    <w:p w:rsidR="00AF5A8C" w:rsidRPr="00620160" w:rsidRDefault="00AF5A8C" w:rsidP="00AF5A8C">
      <w:pPr>
        <w:keepNext/>
        <w:shd w:val="clear" w:color="auto" w:fill="FFFFFF"/>
        <w:spacing w:after="240" w:line="240" w:lineRule="auto"/>
        <w:ind w:left="4689"/>
        <w:jc w:val="center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br w:type="page"/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lastRenderedPageBreak/>
        <w:t>ЗАТВЕРДЖЕНО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br/>
        <w:t>постановою Кабінету Міністрів України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br/>
        <w:t>від 28 жовтня 2015 р. № 865</w:t>
      </w:r>
    </w:p>
    <w:p w:rsidR="00AF5A8C" w:rsidRPr="00620160" w:rsidRDefault="00AF5A8C" w:rsidP="00AF5A8C">
      <w:pPr>
        <w:keepNext/>
        <w:shd w:val="clear" w:color="auto" w:fill="FFFFFF"/>
        <w:spacing w:before="240" w:after="120" w:line="240" w:lineRule="auto"/>
        <w:jc w:val="center"/>
        <w:rPr>
          <w:rFonts w:ascii="Antiqua" w:eastAsia="Times New Roman" w:hAnsi="Antiqua" w:cs="Times New Roman"/>
          <w:b/>
          <w:bCs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ПОРЯДОК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br/>
        <w:t>оплати робіт і послуг з проведення оцінки відповідності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br/>
        <w:t>законодавчо регульованих засобів вимірювальної техніки вимогам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br/>
        <w:t>технічних регламентів, повірки зазначених засобів, що перебувають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br/>
        <w:t>в експлуатації, та визначення вартості таких робіт і послуг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1. Цей Порядок установлює механізм оплати підприємствами, установами, організаціями, фізичними особами — підприємцями (далі — замовники) робіт і послуг, зазначених у статтях 16 і 17 Закону України “Про метрологію та метрологічну діяльність”, та визначення їх вартості, а саме проведення оцінки відповідності законодавчо регульованих засобів вимірювальної техніки вимогам технічних регламентів та повірки зазначених засобів, що перебувають в експлуатації (далі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— роботи і послуги).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 xml:space="preserve">2. Оплата робіт і послуг, що виконуються (надаються)  призначеними органами з оцінки відповідності, науковими метрологічними центрами, які мають міжнародно визнані калібрувальні та вимірювальні можливості за відповідними видами та підвидами вимірювань, уповноваженими науковими метрологічними центрами, метрологічними центрами та </w:t>
      </w: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повірочними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 xml:space="preserve"> лабораторіями (далі — підприємства-виконавці), здійснюється на підставі договору та рахунка на оплату шляхом: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1) перерахування замовником коштів через установу банку чи відділення поштового зв’язку;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2) внесення готівки в касу.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right="678"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3. Вартість робіт і послуг визначається без урахування податку на додану вартість, що нараховується згідно із законодавством. Зазначена вартість розраховується підприємством-виконавцем на підставі норм часу на їх виконання та вартості розрахункової калькуляційної одиниці часу — одного людино-дня (людино-години) за формулою:</w:t>
      </w:r>
    </w:p>
    <w:p w:rsidR="00AF5A8C" w:rsidRPr="00620160" w:rsidRDefault="00AF5A8C" w:rsidP="00AF5A8C">
      <w:pPr>
        <w:shd w:val="clear" w:color="auto" w:fill="FFFFFF"/>
        <w:spacing w:before="240" w:after="120" w:line="240" w:lineRule="auto"/>
        <w:ind w:right="678"/>
        <w:jc w:val="center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bookmarkStart w:id="1" w:name="n30"/>
      <w:bookmarkStart w:id="2" w:name="n31"/>
      <w:bookmarkEnd w:id="1"/>
      <w:bookmarkEnd w:id="2"/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В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мр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 xml:space="preserve"> = </w:t>
      </w: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Н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ч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 xml:space="preserve"> х </w:t>
      </w: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В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оч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,</w:t>
      </w:r>
    </w:p>
    <w:p w:rsidR="00AF5A8C" w:rsidRPr="00620160" w:rsidRDefault="00AF5A8C" w:rsidP="00AF5A8C">
      <w:pPr>
        <w:shd w:val="clear" w:color="auto" w:fill="FFFFFF"/>
        <w:spacing w:after="0" w:line="240" w:lineRule="auto"/>
        <w:ind w:right="678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bookmarkStart w:id="3" w:name="n32"/>
      <w:bookmarkEnd w:id="3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де </w:t>
      </w: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В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мр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</w:rPr>
        <w:t>—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 вартість робіт і послуг, гривень;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right="678" w:firstLine="364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Н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ч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</w:rPr>
        <w:t>—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 норма часу на виконання робіт і послуг, людино-днів (людино-годин);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right="678" w:firstLine="364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В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оч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</w:rPr>
        <w:t>—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 вартість розрахункової калькуляційної одиниці часу, гривень за один людино-день (людино-годину).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right="678"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bookmarkStart w:id="4" w:name="n33"/>
      <w:bookmarkStart w:id="5" w:name="n34"/>
      <w:bookmarkEnd w:id="4"/>
      <w:bookmarkEnd w:id="5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4. Базою для визначення вартості розрахункової калькуляційної одиниці часу є фактичні витрати за даними бухгалтерської звітності за попередній рік з економічним обґрунтуванням на плановий рік, за винятком основної заробітної плати, що враховується у калькуляційній одиниці часу робіт і послуг за даними штатного розпису на дату розрахунку.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right="678"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bookmarkStart w:id="6" w:name="n35"/>
      <w:bookmarkEnd w:id="6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lastRenderedPageBreak/>
        <w:t>Базою для визначення вартості розрахункової калькуляційної одиниці часу на новоутворених підприємствах-виконавцях є планові фінансові показники.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right="678"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bookmarkStart w:id="7" w:name="n36"/>
      <w:bookmarkEnd w:id="7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5. Вартість розрахункової калькуляційної одиниці часу на виконання робіт і послуг обчислюється з урахуванням повної собівартості та прибутку, за формулою:</w:t>
      </w:r>
    </w:p>
    <w:p w:rsidR="00AF5A8C" w:rsidRPr="00620160" w:rsidRDefault="00AF5A8C" w:rsidP="00AF5A8C">
      <w:pPr>
        <w:shd w:val="clear" w:color="auto" w:fill="FFFFFF"/>
        <w:spacing w:before="120" w:after="0" w:line="240" w:lineRule="auto"/>
        <w:ind w:right="678"/>
        <w:jc w:val="center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bookmarkStart w:id="8" w:name="n37"/>
      <w:bookmarkEnd w:id="8"/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В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оч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 = (</w:t>
      </w: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С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п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 xml:space="preserve"> + </w:t>
      </w: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П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р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 xml:space="preserve">) / </w:t>
      </w: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Ф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рч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,</w:t>
      </w:r>
    </w:p>
    <w:p w:rsidR="00AF5A8C" w:rsidRPr="00620160" w:rsidRDefault="00AF5A8C" w:rsidP="00AF5A8C">
      <w:pPr>
        <w:shd w:val="clear" w:color="auto" w:fill="FFFFFF"/>
        <w:spacing w:before="120" w:after="0" w:line="240" w:lineRule="auto"/>
        <w:ind w:right="678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 xml:space="preserve">де </w:t>
      </w: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В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оч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</w:rPr>
        <w:t>—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вартість розрахункової калькуляційної одиниці часу, гривень за один людино-день (людино-годину);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right="678" w:firstLine="364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С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п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</w:rPr>
        <w:t>—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повна собівартість, яка включає виробничу собівартість, адміністративні витрати та витрати на збут, гривень;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right="678" w:firstLine="364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П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р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</w:rPr>
        <w:t>—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прибуток, гривень;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right="678" w:firstLine="364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Ф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рч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val="uk-UA"/>
        </w:rPr>
        <w:t>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</w:rPr>
        <w:t>— 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фонд робочого часу основних виконавців робіт (послуг), людино-днів (людино-годин).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bookmarkStart w:id="9" w:name="n38"/>
      <w:bookmarkStart w:id="10" w:name="n39"/>
      <w:bookmarkStart w:id="11" w:name="n40"/>
      <w:bookmarkEnd w:id="9"/>
      <w:bookmarkEnd w:id="10"/>
      <w:bookmarkEnd w:id="11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 xml:space="preserve">6. Розподіл загальновиробничих, адміністративних витрат і витрат на збут здійснюється </w:t>
      </w:r>
      <w:proofErr w:type="spellStart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пропорційно</w:t>
      </w:r>
      <w:proofErr w:type="spellEnd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 xml:space="preserve"> сумам посадових окладів за штатним розписом основних виконавців робіт і послуг.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bookmarkStart w:id="12" w:name="n41"/>
      <w:bookmarkEnd w:id="12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7. Витрати, що не враховані у вартості розрахункової калькуляційної одиниці часу та пов’язані з виконанням конкретних робіт і послуг (придбання специфічних матеріалів, комплектувальних виробів, витрати на відрядження основних виконавців, оплату послуг співвиконавців, здійснення транспортних та митних платежів тощо), зараховуються до вартості робіт і послуг.</w:t>
      </w:r>
      <w:bookmarkStart w:id="13" w:name="n42"/>
      <w:bookmarkEnd w:id="13"/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Компенсація витрат, пов’язаних з вимушеним простоєм з вини підприємства, установи, організації, фізичної особи — підприємця, що є замовником робіт і послуг, часом на проїзд спеціалістів підприємства-виконавця до місця проведення робіт і надання послуг та у зворотному напрямку, організацією робочого місця, розраховується виходячи з витрат часу та вартості розрахункової калькуляційної одиниці часу без урахування амортизаційних відрахувань на основні засоби.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bookmarkStart w:id="14" w:name="n43"/>
      <w:bookmarkEnd w:id="14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8. Під час визначення вартості робіт і послуг, що виконуються (надаються) без використання обладнання підприємства-виконавця, від вартості розрахункової калькуляційної одиниці часу віднімаються сума амортизації основних засобів і вартість комунальних послуг (централізоване постачання холодної та гарячої води, водовідведення, газо- та електропостачання, централізоване опалення) для приміщень виробничого призначення.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bookmarkStart w:id="15" w:name="n44"/>
      <w:bookmarkEnd w:id="15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9. Вартість розрахункової калькуляційної одиниці часу робіт і послуг переглядається в разі внесення відповідних змін до актів законодавства, зміни суми витрат, що впливають на її вартість (збільшення мінімальної заробітної плати, тарифів на оплату енергоносіїв, цін на матеріали та сировину тощо).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bookmarkStart w:id="16" w:name="n45"/>
      <w:bookmarkEnd w:id="16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10. Перегляд вартості розрахункової калькуляційної одиниці часу здійснюється не частіше одного разу на рік,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val="uk-UA"/>
        </w:rPr>
        <w:t> як правило,</w:t>
      </w: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 до 1 жовтня, але не пізніше 1 грудня поточного року.</w:t>
      </w:r>
    </w:p>
    <w:p w:rsidR="00AF5A8C" w:rsidRPr="00620160" w:rsidRDefault="00AF5A8C" w:rsidP="00AF5A8C">
      <w:pPr>
        <w:shd w:val="clear" w:color="auto" w:fill="FFFFFF"/>
        <w:spacing w:before="100" w:after="0" w:line="240" w:lineRule="auto"/>
        <w:ind w:firstLine="567"/>
        <w:jc w:val="both"/>
        <w:textAlignment w:val="baseline"/>
        <w:rPr>
          <w:rFonts w:ascii="Antiqua" w:eastAsia="Times New Roman" w:hAnsi="Antiqua" w:cs="Times New Roman"/>
          <w:color w:val="000000"/>
          <w:sz w:val="24"/>
          <w:szCs w:val="24"/>
        </w:rPr>
      </w:pPr>
      <w:bookmarkStart w:id="17" w:name="n46"/>
      <w:bookmarkStart w:id="18" w:name="n47"/>
      <w:bookmarkStart w:id="19" w:name="n48"/>
      <w:bookmarkEnd w:id="17"/>
      <w:bookmarkEnd w:id="18"/>
      <w:bookmarkEnd w:id="19"/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lastRenderedPageBreak/>
        <w:t>11. Відповідальними за обґрунтованість визначення вартості робіт і послуг є керівники підприємств-виконавців.</w:t>
      </w:r>
    </w:p>
    <w:p w:rsidR="00AF5A8C" w:rsidRPr="00620160" w:rsidRDefault="00AF5A8C" w:rsidP="00AF5A8C">
      <w:pPr>
        <w:keepNext/>
        <w:shd w:val="clear" w:color="auto" w:fill="FFFFFF"/>
        <w:spacing w:after="0" w:line="240" w:lineRule="auto"/>
        <w:jc w:val="center"/>
        <w:outlineLvl w:val="2"/>
        <w:rPr>
          <w:rFonts w:ascii="Antiqua" w:eastAsia="Times New Roman" w:hAnsi="Antiqua" w:cs="Times New Roman"/>
          <w:b/>
          <w:bCs/>
          <w:i/>
          <w:iCs/>
          <w:color w:val="000000"/>
          <w:sz w:val="24"/>
          <w:szCs w:val="24"/>
        </w:rPr>
      </w:pPr>
      <w:r w:rsidRPr="00620160">
        <w:rPr>
          <w:rFonts w:ascii="Verdana" w:eastAsia="Times New Roman" w:hAnsi="Verdana" w:cs="Times New Roman"/>
          <w:color w:val="000000"/>
          <w:sz w:val="24"/>
          <w:szCs w:val="24"/>
          <w:lang w:val="x-none"/>
        </w:rPr>
        <w:t>_____________________</w:t>
      </w:r>
    </w:p>
    <w:p w:rsidR="00AF5A8C" w:rsidRPr="00620160" w:rsidRDefault="00AF5A8C" w:rsidP="00AF5A8C">
      <w:pPr>
        <w:shd w:val="clear" w:color="auto" w:fill="FFFFFF"/>
        <w:spacing w:after="0" w:line="240" w:lineRule="auto"/>
        <w:jc w:val="both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Antiqua" w:eastAsia="Times New Roman" w:hAnsi="Antiqua" w:cs="Times New Roman"/>
          <w:color w:val="000000"/>
          <w:sz w:val="24"/>
          <w:szCs w:val="24"/>
          <w:lang w:val="uk-UA"/>
        </w:rPr>
        <w:t> </w:t>
      </w:r>
    </w:p>
    <w:p w:rsidR="00AF5A8C" w:rsidRPr="00620160" w:rsidRDefault="00AF5A8C" w:rsidP="00AF5A8C">
      <w:pPr>
        <w:shd w:val="clear" w:color="auto" w:fill="FFFFFF"/>
        <w:spacing w:after="100" w:line="240" w:lineRule="auto"/>
        <w:jc w:val="both"/>
        <w:rPr>
          <w:rFonts w:ascii="Antiqua" w:eastAsia="Times New Roman" w:hAnsi="Antiqua" w:cs="Times New Roman"/>
          <w:color w:val="000000"/>
          <w:sz w:val="24"/>
          <w:szCs w:val="24"/>
        </w:rPr>
      </w:pPr>
      <w:r w:rsidRPr="00620160">
        <w:rPr>
          <w:rFonts w:ascii="Antiqua" w:eastAsia="Times New Roman" w:hAnsi="Antiqua" w:cs="Times New Roman"/>
          <w:color w:val="000000"/>
          <w:sz w:val="24"/>
          <w:szCs w:val="24"/>
          <w:lang w:val="uk-UA"/>
        </w:rPr>
        <w:t> </w:t>
      </w:r>
    </w:p>
    <w:p w:rsidR="002C065F" w:rsidRPr="00620160" w:rsidRDefault="002C065F" w:rsidP="002C065F">
      <w:pPr>
        <w:rPr>
          <w:sz w:val="24"/>
          <w:szCs w:val="24"/>
        </w:rPr>
      </w:pPr>
    </w:p>
    <w:p w:rsidR="002C065F" w:rsidRPr="00620160" w:rsidRDefault="002C065F" w:rsidP="002C065F">
      <w:pPr>
        <w:rPr>
          <w:sz w:val="24"/>
          <w:szCs w:val="24"/>
        </w:rPr>
      </w:pPr>
    </w:p>
    <w:p w:rsidR="002C065F" w:rsidRPr="00620160" w:rsidRDefault="002C065F" w:rsidP="002C065F">
      <w:pPr>
        <w:rPr>
          <w:sz w:val="24"/>
          <w:szCs w:val="24"/>
        </w:rPr>
      </w:pPr>
    </w:p>
    <w:p w:rsidR="007C4BA1" w:rsidRPr="00620160" w:rsidRDefault="007C4BA1" w:rsidP="002C065F">
      <w:pPr>
        <w:rPr>
          <w:sz w:val="24"/>
          <w:szCs w:val="24"/>
        </w:rPr>
      </w:pPr>
    </w:p>
    <w:sectPr w:rsidR="007C4BA1" w:rsidRPr="00620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D27"/>
    <w:rsid w:val="001B13AA"/>
    <w:rsid w:val="00210D27"/>
    <w:rsid w:val="002C065F"/>
    <w:rsid w:val="002C64AD"/>
    <w:rsid w:val="00620160"/>
    <w:rsid w:val="007761A9"/>
    <w:rsid w:val="007C4BA1"/>
    <w:rsid w:val="008F2871"/>
    <w:rsid w:val="00905477"/>
    <w:rsid w:val="00AF5A8C"/>
    <w:rsid w:val="00E7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63796-11C8-4AA4-AF5B-0DA7617CC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6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1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487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Мінаєв Василь Васильович</dc:creator>
  <cp:keywords/>
  <dc:description/>
  <cp:lastModifiedBy>Мінаєв Василь Васильович</cp:lastModifiedBy>
  <cp:revision>3</cp:revision>
  <dcterms:created xsi:type="dcterms:W3CDTF">2015-11-02T06:07:00Z</dcterms:created>
  <dcterms:modified xsi:type="dcterms:W3CDTF">2015-11-02T13:06:00Z</dcterms:modified>
</cp:coreProperties>
</file>