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2D7" w:rsidRPr="008F12D7" w:rsidRDefault="008F12D7" w:rsidP="008F12D7">
      <w:pPr>
        <w:spacing w:after="0" w:line="240" w:lineRule="auto"/>
        <w:ind w:right="-2126" w:firstLine="709"/>
        <w:jc w:val="center"/>
        <w:rPr>
          <w:rStyle w:val="rvts23"/>
          <w:rFonts w:ascii="Times New Roman" w:hAnsi="Times New Roman" w:cs="Times New Roman"/>
          <w:bCs/>
          <w:sz w:val="24"/>
          <w:szCs w:val="28"/>
          <w:shd w:val="clear" w:color="auto" w:fill="FFFFFF"/>
        </w:rPr>
      </w:pPr>
      <w:r w:rsidRPr="008F12D7">
        <w:rPr>
          <w:rStyle w:val="rvts23"/>
          <w:rFonts w:ascii="Times New Roman" w:hAnsi="Times New Roman" w:cs="Times New Roman"/>
          <w:b/>
          <w:bCs/>
          <w:sz w:val="24"/>
          <w:szCs w:val="28"/>
          <w:shd w:val="clear" w:color="auto" w:fill="FFFFFF"/>
        </w:rPr>
        <w:t xml:space="preserve">                                                                                                                                            </w:t>
      </w:r>
      <w:r w:rsidRPr="008F12D7">
        <w:rPr>
          <w:rStyle w:val="rvts23"/>
          <w:rFonts w:ascii="Times New Roman" w:hAnsi="Times New Roman" w:cs="Times New Roman"/>
          <w:bCs/>
          <w:sz w:val="24"/>
          <w:szCs w:val="28"/>
          <w:shd w:val="clear" w:color="auto" w:fill="FFFFFF"/>
        </w:rPr>
        <w:t xml:space="preserve">Станом на </w:t>
      </w:r>
      <w:r w:rsidR="0057511E">
        <w:rPr>
          <w:rStyle w:val="rvts23"/>
          <w:rFonts w:ascii="Times New Roman" w:hAnsi="Times New Roman" w:cs="Times New Roman"/>
          <w:bCs/>
          <w:sz w:val="24"/>
          <w:szCs w:val="28"/>
          <w:shd w:val="clear" w:color="auto" w:fill="FFFFFF"/>
        </w:rPr>
        <w:t>31</w:t>
      </w:r>
      <w:r w:rsidRPr="008F12D7">
        <w:rPr>
          <w:rStyle w:val="rvts23"/>
          <w:rFonts w:ascii="Times New Roman" w:hAnsi="Times New Roman" w:cs="Times New Roman"/>
          <w:bCs/>
          <w:sz w:val="24"/>
          <w:szCs w:val="28"/>
          <w:shd w:val="clear" w:color="auto" w:fill="FFFFFF"/>
        </w:rPr>
        <w:t>.</w:t>
      </w:r>
      <w:r w:rsidR="00AD20C6">
        <w:rPr>
          <w:rStyle w:val="rvts23"/>
          <w:rFonts w:ascii="Times New Roman" w:hAnsi="Times New Roman" w:cs="Times New Roman"/>
          <w:bCs/>
          <w:sz w:val="24"/>
          <w:szCs w:val="28"/>
          <w:shd w:val="clear" w:color="auto" w:fill="FFFFFF"/>
        </w:rPr>
        <w:t>0</w:t>
      </w:r>
      <w:r w:rsidR="0057511E">
        <w:rPr>
          <w:rStyle w:val="rvts23"/>
          <w:rFonts w:ascii="Times New Roman" w:hAnsi="Times New Roman" w:cs="Times New Roman"/>
          <w:bCs/>
          <w:sz w:val="24"/>
          <w:szCs w:val="28"/>
          <w:shd w:val="clear" w:color="auto" w:fill="FFFFFF"/>
        </w:rPr>
        <w:t>1</w:t>
      </w:r>
      <w:r w:rsidRPr="008F12D7">
        <w:rPr>
          <w:rStyle w:val="rvts23"/>
          <w:rFonts w:ascii="Times New Roman" w:hAnsi="Times New Roman" w:cs="Times New Roman"/>
          <w:bCs/>
          <w:sz w:val="24"/>
          <w:szCs w:val="28"/>
          <w:shd w:val="clear" w:color="auto" w:fill="FFFFFF"/>
        </w:rPr>
        <w:t>.202</w:t>
      </w:r>
      <w:r w:rsidR="00AD20C6">
        <w:rPr>
          <w:rStyle w:val="rvts23"/>
          <w:rFonts w:ascii="Times New Roman" w:hAnsi="Times New Roman" w:cs="Times New Roman"/>
          <w:bCs/>
          <w:sz w:val="24"/>
          <w:szCs w:val="28"/>
          <w:shd w:val="clear" w:color="auto" w:fill="FFFFFF"/>
        </w:rPr>
        <w:t>2</w:t>
      </w:r>
    </w:p>
    <w:p w:rsidR="00885472" w:rsidRPr="00885472" w:rsidRDefault="00885472" w:rsidP="0080431C">
      <w:pPr>
        <w:spacing w:after="0" w:line="240" w:lineRule="auto"/>
        <w:ind w:right="-2126" w:firstLine="709"/>
        <w:jc w:val="center"/>
        <w:rPr>
          <w:rStyle w:val="rvts23"/>
          <w:rFonts w:ascii="Times New Roman" w:hAnsi="Times New Roman" w:cs="Times New Roman"/>
          <w:bCs/>
          <w:i/>
          <w:sz w:val="20"/>
          <w:szCs w:val="28"/>
          <w:shd w:val="clear" w:color="auto" w:fill="FFFFFF"/>
        </w:rPr>
      </w:pPr>
    </w:p>
    <w:p w:rsidR="0080431C" w:rsidRDefault="00B677BA" w:rsidP="0080431C">
      <w:pPr>
        <w:spacing w:after="0" w:line="240" w:lineRule="auto"/>
        <w:ind w:right="-2126" w:firstLine="709"/>
        <w:jc w:val="center"/>
        <w:rPr>
          <w:rFonts w:ascii="Times New Roman" w:hAnsi="Times New Roman" w:cs="Times New Roman"/>
          <w:b/>
          <w:bCs/>
          <w:sz w:val="24"/>
          <w:szCs w:val="24"/>
        </w:rPr>
      </w:pPr>
      <w:r w:rsidRPr="00363D3D">
        <w:rPr>
          <w:rFonts w:ascii="Times New Roman" w:hAnsi="Times New Roman" w:cs="Times New Roman"/>
          <w:b/>
          <w:bCs/>
          <w:sz w:val="24"/>
          <w:szCs w:val="24"/>
        </w:rPr>
        <w:t>Структура, принципи формування та розмір оплати праці, винагороди, додаткового блага членів виконавчого органу</w:t>
      </w:r>
    </w:p>
    <w:p w:rsidR="00363D3D" w:rsidRPr="00363D3D" w:rsidRDefault="00363D3D" w:rsidP="0080431C">
      <w:pPr>
        <w:spacing w:after="0" w:line="240" w:lineRule="auto"/>
        <w:ind w:right="-2126" w:firstLine="709"/>
        <w:jc w:val="center"/>
        <w:rPr>
          <w:rFonts w:ascii="Times New Roman" w:hAnsi="Times New Roman" w:cs="Times New Roman"/>
          <w:b/>
          <w:bCs/>
          <w:szCs w:val="24"/>
        </w:rPr>
      </w:pPr>
      <w:r w:rsidRPr="00363D3D">
        <w:rPr>
          <w:rStyle w:val="rvts23"/>
          <w:rFonts w:ascii="Times New Roman" w:hAnsi="Times New Roman" w:cs="Times New Roman"/>
          <w:bCs/>
          <w:i/>
          <w:sz w:val="24"/>
          <w:szCs w:val="28"/>
          <w:shd w:val="clear" w:color="auto" w:fill="FFFFFF"/>
        </w:rPr>
        <w:t>(на виконання ЗУ «Про доступ до публічної інформації»</w:t>
      </w:r>
    </w:p>
    <w:p w:rsidR="00B677BA" w:rsidRPr="00885472" w:rsidRDefault="00B677BA" w:rsidP="0080431C">
      <w:pPr>
        <w:spacing w:after="0" w:line="240" w:lineRule="auto"/>
        <w:ind w:right="-2126" w:firstLine="709"/>
        <w:jc w:val="center"/>
        <w:rPr>
          <w:rStyle w:val="rvts23"/>
          <w:rFonts w:ascii="Times New Roman" w:hAnsi="Times New Roman" w:cs="Times New Roman"/>
          <w:bCs/>
          <w:i/>
          <w:sz w:val="18"/>
          <w:szCs w:val="28"/>
          <w:shd w:val="clear" w:color="auto" w:fill="FFFFFF"/>
        </w:rPr>
      </w:pPr>
    </w:p>
    <w:tbl>
      <w:tblPr>
        <w:tblStyle w:val="a3"/>
        <w:tblW w:w="16297" w:type="dxa"/>
        <w:tblLook w:val="04A0" w:firstRow="1" w:lastRow="0" w:firstColumn="1" w:lastColumn="0" w:noHBand="0" w:noVBand="1"/>
      </w:tblPr>
      <w:tblGrid>
        <w:gridCol w:w="2547"/>
        <w:gridCol w:w="5386"/>
        <w:gridCol w:w="8364"/>
      </w:tblGrid>
      <w:tr w:rsidR="0080431C" w:rsidTr="00C05FE8">
        <w:trPr>
          <w:trHeight w:val="327"/>
        </w:trPr>
        <w:tc>
          <w:tcPr>
            <w:tcW w:w="2547" w:type="dxa"/>
            <w:tcBorders>
              <w:top w:val="single" w:sz="4" w:space="0" w:color="BFBFBF" w:themeColor="background1" w:themeShade="BF"/>
              <w:left w:val="single" w:sz="4" w:space="0" w:color="A5A5A5" w:themeColor="accent3"/>
              <w:bottom w:val="single" w:sz="4" w:space="0" w:color="BFBFBF" w:themeColor="background1" w:themeShade="BF"/>
              <w:right w:val="single" w:sz="4" w:space="0" w:color="A5A5A5" w:themeColor="accent3"/>
            </w:tcBorders>
          </w:tcPr>
          <w:p w:rsidR="0080431C" w:rsidRPr="00A92D04" w:rsidRDefault="0080431C" w:rsidP="0080431C">
            <w:pPr>
              <w:jc w:val="center"/>
              <w:rPr>
                <w:rFonts w:ascii="Times New Roman" w:hAnsi="Times New Roman" w:cs="Times New Roman"/>
                <w:b/>
                <w:sz w:val="24"/>
                <w:szCs w:val="24"/>
              </w:rPr>
            </w:pPr>
            <w:r w:rsidRPr="00A92D04">
              <w:rPr>
                <w:rFonts w:ascii="Times New Roman" w:hAnsi="Times New Roman" w:cs="Times New Roman"/>
                <w:b/>
                <w:sz w:val="24"/>
                <w:szCs w:val="24"/>
              </w:rPr>
              <w:t>Ключові аспекти</w:t>
            </w:r>
          </w:p>
        </w:tc>
        <w:tc>
          <w:tcPr>
            <w:tcW w:w="5386" w:type="dxa"/>
            <w:tcBorders>
              <w:top w:val="single" w:sz="4" w:space="0" w:color="BFBFBF" w:themeColor="background1" w:themeShade="BF"/>
              <w:left w:val="single" w:sz="4" w:space="0" w:color="A5A5A5" w:themeColor="accent3"/>
              <w:bottom w:val="single" w:sz="4" w:space="0" w:color="BFBFBF" w:themeColor="background1" w:themeShade="BF"/>
              <w:right w:val="single" w:sz="4" w:space="0" w:color="A5A5A5" w:themeColor="accent3"/>
            </w:tcBorders>
          </w:tcPr>
          <w:p w:rsidR="0080431C" w:rsidRPr="00A92D04" w:rsidRDefault="0080431C" w:rsidP="0080431C">
            <w:pPr>
              <w:jc w:val="center"/>
              <w:rPr>
                <w:rFonts w:ascii="Times New Roman" w:hAnsi="Times New Roman" w:cs="Times New Roman"/>
                <w:b/>
                <w:sz w:val="24"/>
                <w:szCs w:val="24"/>
              </w:rPr>
            </w:pPr>
            <w:r w:rsidRPr="00A92D04">
              <w:rPr>
                <w:rFonts w:ascii="Times New Roman" w:hAnsi="Times New Roman" w:cs="Times New Roman"/>
                <w:b/>
                <w:sz w:val="24"/>
                <w:szCs w:val="24"/>
              </w:rPr>
              <w:t>Нормативно-правове регулювання</w:t>
            </w:r>
          </w:p>
        </w:tc>
        <w:tc>
          <w:tcPr>
            <w:tcW w:w="8364" w:type="dxa"/>
            <w:tcBorders>
              <w:top w:val="single" w:sz="4" w:space="0" w:color="BFBFBF" w:themeColor="background1" w:themeShade="BF"/>
              <w:left w:val="single" w:sz="4" w:space="0" w:color="A5A5A5" w:themeColor="accent3"/>
              <w:bottom w:val="single" w:sz="4" w:space="0" w:color="BFBFBF" w:themeColor="background1" w:themeShade="BF"/>
              <w:right w:val="single" w:sz="4" w:space="0" w:color="A5A5A5" w:themeColor="accent3"/>
            </w:tcBorders>
          </w:tcPr>
          <w:p w:rsidR="0080431C" w:rsidRPr="00A92D04" w:rsidRDefault="0080431C" w:rsidP="0080431C">
            <w:pPr>
              <w:jc w:val="center"/>
              <w:rPr>
                <w:rFonts w:ascii="Times New Roman" w:hAnsi="Times New Roman" w:cs="Times New Roman"/>
                <w:b/>
                <w:sz w:val="24"/>
                <w:szCs w:val="24"/>
              </w:rPr>
            </w:pPr>
            <w:r w:rsidRPr="00A92D04">
              <w:rPr>
                <w:rFonts w:ascii="Times New Roman" w:hAnsi="Times New Roman" w:cs="Times New Roman"/>
                <w:b/>
                <w:sz w:val="24"/>
                <w:szCs w:val="24"/>
              </w:rPr>
              <w:t>Основні засади</w:t>
            </w:r>
          </w:p>
        </w:tc>
      </w:tr>
      <w:tr w:rsidR="0080431C" w:rsidTr="00B40FBE">
        <w:trPr>
          <w:trHeight w:val="327"/>
        </w:trPr>
        <w:tc>
          <w:tcPr>
            <w:tcW w:w="16297" w:type="dxa"/>
            <w:gridSpan w:val="3"/>
            <w:tcBorders>
              <w:top w:val="single" w:sz="4" w:space="0" w:color="BFBFBF" w:themeColor="background1" w:themeShade="BF"/>
              <w:left w:val="single" w:sz="4" w:space="0" w:color="A5A5A5" w:themeColor="accent3"/>
              <w:bottom w:val="single" w:sz="4" w:space="0" w:color="BFBFBF" w:themeColor="background1" w:themeShade="BF"/>
              <w:right w:val="single" w:sz="4" w:space="0" w:color="A5A5A5" w:themeColor="accent3"/>
            </w:tcBorders>
            <w:vAlign w:val="center"/>
          </w:tcPr>
          <w:p w:rsidR="0080431C" w:rsidRPr="007A7ECD" w:rsidRDefault="0080431C" w:rsidP="005443BE">
            <w:pPr>
              <w:jc w:val="center"/>
              <w:rPr>
                <w:rFonts w:ascii="Times New Roman" w:hAnsi="Times New Roman" w:cs="Times New Roman"/>
                <w:b/>
                <w:bCs/>
                <w:sz w:val="24"/>
                <w:szCs w:val="24"/>
              </w:rPr>
            </w:pPr>
            <w:r w:rsidRPr="007A7ECD">
              <w:rPr>
                <w:rFonts w:ascii="Times New Roman" w:hAnsi="Times New Roman" w:cs="Times New Roman"/>
                <w:b/>
                <w:bCs/>
                <w:sz w:val="24"/>
                <w:szCs w:val="24"/>
              </w:rPr>
              <w:t xml:space="preserve">Структура, принципи формування та розмір оплати праці, винагороди, додаткового блага членів </w:t>
            </w:r>
            <w:r>
              <w:rPr>
                <w:rFonts w:ascii="Times New Roman" w:hAnsi="Times New Roman" w:cs="Times New Roman"/>
                <w:b/>
                <w:bCs/>
                <w:sz w:val="24"/>
                <w:szCs w:val="24"/>
              </w:rPr>
              <w:t>виконавчого органу</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Default="00016CA6" w:rsidP="00016CA6">
            <w:pPr>
              <w:rPr>
                <w:rFonts w:ascii="Times New Roman" w:hAnsi="Times New Roman" w:cs="Times New Roman"/>
                <w:sz w:val="24"/>
                <w:szCs w:val="24"/>
              </w:rPr>
            </w:pPr>
            <w:r w:rsidRPr="00A21D91">
              <w:rPr>
                <w:rFonts w:ascii="Times New Roman" w:hAnsi="Times New Roman" w:cs="Times New Roman"/>
                <w:sz w:val="24"/>
                <w:szCs w:val="24"/>
              </w:rPr>
              <w:t xml:space="preserve">Виконавчий орган </w:t>
            </w:r>
          </w:p>
          <w:p w:rsidR="00016CA6" w:rsidRPr="00A21D91" w:rsidRDefault="00016CA6" w:rsidP="00016CA6">
            <w:pPr>
              <w:rPr>
                <w:rFonts w:ascii="Times New Roman" w:hAnsi="Times New Roman" w:cs="Times New Roman"/>
                <w:sz w:val="24"/>
                <w:szCs w:val="24"/>
              </w:rPr>
            </w:pPr>
            <w:r w:rsidRPr="00A21D91">
              <w:rPr>
                <w:rFonts w:ascii="Times New Roman" w:hAnsi="Times New Roman" w:cs="Times New Roman"/>
                <w:sz w:val="24"/>
                <w:szCs w:val="24"/>
              </w:rPr>
              <w:t xml:space="preserve">АТ «Укрзалізниця» </w:t>
            </w:r>
          </w:p>
        </w:tc>
        <w:tc>
          <w:tcPr>
            <w:tcW w:w="538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 xml:space="preserve">Пункт </w:t>
            </w:r>
            <w:r>
              <w:rPr>
                <w:rFonts w:ascii="Times New Roman" w:hAnsi="Times New Roman" w:cs="Times New Roman"/>
                <w:sz w:val="24"/>
                <w:szCs w:val="24"/>
              </w:rPr>
              <w:t>3</w:t>
            </w:r>
            <w:r w:rsidRPr="00A21D91">
              <w:rPr>
                <w:rFonts w:ascii="Times New Roman" w:hAnsi="Times New Roman" w:cs="Times New Roman"/>
                <w:sz w:val="24"/>
                <w:szCs w:val="24"/>
              </w:rPr>
              <w:t xml:space="preserve"> статті 6 Закону України «Про особливості утворення акціонерного товариства залізничного транспорту загального користування».</w:t>
            </w:r>
          </w:p>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 xml:space="preserve">Пункт 90 Статуту  АТ «Укрзалізниця» </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Виконавчим органом акціонерного товариства «Українська залізниця» (далі – Товариство), який здійснює управління його поточною діяльністю, є правління.</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rPr>
                <w:rFonts w:ascii="Times New Roman" w:hAnsi="Times New Roman" w:cs="Times New Roman"/>
                <w:sz w:val="24"/>
                <w:szCs w:val="24"/>
              </w:rPr>
            </w:pPr>
            <w:r w:rsidRPr="00A21D91">
              <w:rPr>
                <w:rFonts w:ascii="Times New Roman" w:hAnsi="Times New Roman" w:cs="Times New Roman"/>
                <w:sz w:val="24"/>
                <w:szCs w:val="24"/>
              </w:rPr>
              <w:t>Чисельність і персональний склад правління</w:t>
            </w:r>
          </w:p>
        </w:tc>
        <w:tc>
          <w:tcPr>
            <w:tcW w:w="538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jc w:val="both"/>
              <w:rPr>
                <w:rFonts w:ascii="Times New Roman" w:hAnsi="Times New Roman" w:cs="Times New Roman"/>
                <w:sz w:val="24"/>
                <w:szCs w:val="24"/>
              </w:rPr>
            </w:pP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2B5DA3" w:rsidRDefault="00016CA6" w:rsidP="00016CA6">
            <w:pPr>
              <w:jc w:val="both"/>
              <w:rPr>
                <w:rFonts w:ascii="Times New Roman" w:eastAsia="Times New Roman" w:hAnsi="Times New Roman" w:cs="Times New Roman"/>
                <w:sz w:val="24"/>
                <w:szCs w:val="24"/>
                <w:lang w:eastAsia="ru-RU"/>
              </w:rPr>
            </w:pPr>
            <w:r w:rsidRPr="002B5DA3">
              <w:rPr>
                <w:rFonts w:ascii="Times New Roman" w:hAnsi="Times New Roman" w:cs="Times New Roman"/>
                <w:sz w:val="24"/>
                <w:szCs w:val="24"/>
              </w:rPr>
              <w:t>«</w:t>
            </w:r>
            <w:r w:rsidRPr="002B5DA3">
              <w:rPr>
                <w:rFonts w:ascii="Times New Roman" w:eastAsia="Times New Roman" w:hAnsi="Times New Roman" w:cs="Times New Roman"/>
                <w:sz w:val="24"/>
                <w:szCs w:val="24"/>
                <w:lang w:eastAsia="ru-RU"/>
              </w:rPr>
              <w:t>Правління очолює голова або особа, яка тимчасово здійснює його повноваження, які призначаються та звільняються з посади загальними зборами на підставі пропозицій (подання) наглядової ради. Строк повноважень голови, його заступників та членів правління визначається загальними зборами. Одна і та сама особа може бути головою або членом правління неодноразово.</w:t>
            </w:r>
            <w:r w:rsidRPr="002B5DA3">
              <w:rPr>
                <w:rFonts w:ascii="Times New Roman" w:hAnsi="Times New Roman" w:cs="Times New Roman"/>
                <w:sz w:val="24"/>
                <w:szCs w:val="24"/>
              </w:rPr>
              <w:t>»</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rPr>
                <w:rFonts w:ascii="Times New Roman" w:hAnsi="Times New Roman" w:cs="Times New Roman"/>
                <w:sz w:val="24"/>
                <w:szCs w:val="24"/>
              </w:rPr>
            </w:pPr>
            <w:r w:rsidRPr="00A21D91">
              <w:rPr>
                <w:rFonts w:ascii="Times New Roman" w:hAnsi="Times New Roman" w:cs="Times New Roman"/>
                <w:sz w:val="24"/>
                <w:szCs w:val="24"/>
              </w:rPr>
              <w:t>Призначення та звільнення з посади голови правління</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 xml:space="preserve">Пункт 57 Статуту АТ «Укрзалізниця» </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До виключної компетенції загальних зборів відноситься «затвердження чисельності та персонального складу правління (на підставі пропозицій (подання) наглядової ради)»</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rPr>
                <w:rFonts w:ascii="Times New Roman" w:hAnsi="Times New Roman" w:cs="Times New Roman"/>
                <w:sz w:val="24"/>
                <w:szCs w:val="24"/>
              </w:rPr>
            </w:pPr>
            <w:r w:rsidRPr="00A21D91">
              <w:rPr>
                <w:rFonts w:ascii="Times New Roman" w:hAnsi="Times New Roman" w:cs="Times New Roman"/>
                <w:sz w:val="24"/>
                <w:szCs w:val="24"/>
              </w:rPr>
              <w:t>Права та обов'язки членів виконавчого органу</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Стаття 58 Закону України «Про акціонерні товариства»</w:t>
            </w:r>
          </w:p>
          <w:p w:rsidR="00016CA6" w:rsidRPr="00A21D91" w:rsidRDefault="00016CA6" w:rsidP="00016CA6">
            <w:pPr>
              <w:jc w:val="both"/>
              <w:rPr>
                <w:rFonts w:ascii="Times New Roman" w:hAnsi="Times New Roman" w:cs="Times New Roman"/>
                <w:sz w:val="24"/>
                <w:szCs w:val="24"/>
              </w:rPr>
            </w:pPr>
          </w:p>
          <w:p w:rsidR="00016CA6" w:rsidRPr="00A21D91" w:rsidRDefault="00016CA6" w:rsidP="00016CA6">
            <w:pPr>
              <w:jc w:val="both"/>
              <w:rPr>
                <w:rFonts w:ascii="Times New Roman" w:hAnsi="Times New Roman" w:cs="Times New Roman"/>
                <w:sz w:val="24"/>
                <w:szCs w:val="24"/>
              </w:rPr>
            </w:pPr>
          </w:p>
          <w:p w:rsidR="00016CA6" w:rsidRDefault="00016CA6" w:rsidP="00016CA6">
            <w:pPr>
              <w:jc w:val="both"/>
              <w:rPr>
                <w:rFonts w:ascii="Times New Roman" w:hAnsi="Times New Roman" w:cs="Times New Roman"/>
                <w:sz w:val="24"/>
                <w:szCs w:val="24"/>
              </w:rPr>
            </w:pPr>
          </w:p>
          <w:p w:rsidR="00016CA6" w:rsidRPr="00A21D91" w:rsidRDefault="00016CA6" w:rsidP="00016CA6">
            <w:pPr>
              <w:jc w:val="both"/>
              <w:rPr>
                <w:rFonts w:ascii="Times New Roman" w:hAnsi="Times New Roman" w:cs="Times New Roman"/>
                <w:sz w:val="24"/>
                <w:szCs w:val="24"/>
              </w:rPr>
            </w:pPr>
            <w:r w:rsidRPr="00A21D91">
              <w:rPr>
                <w:rFonts w:ascii="Times New Roman" w:hAnsi="Times New Roman" w:cs="Times New Roman"/>
                <w:sz w:val="24"/>
                <w:szCs w:val="24"/>
              </w:rPr>
              <w:t xml:space="preserve">Пункт </w:t>
            </w:r>
            <w:r>
              <w:rPr>
                <w:rFonts w:ascii="Times New Roman" w:hAnsi="Times New Roman" w:cs="Times New Roman"/>
                <w:sz w:val="24"/>
                <w:szCs w:val="24"/>
              </w:rPr>
              <w:t>88</w:t>
            </w:r>
            <w:r w:rsidRPr="00A21D91">
              <w:rPr>
                <w:rFonts w:ascii="Times New Roman" w:hAnsi="Times New Roman" w:cs="Times New Roman"/>
                <w:sz w:val="24"/>
                <w:szCs w:val="24"/>
              </w:rPr>
              <w:t xml:space="preserve"> Статуту АТ «Укрзалізниця» </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A21D91" w:rsidRDefault="00016CA6" w:rsidP="00016CA6">
            <w:pPr>
              <w:jc w:val="both"/>
              <w:rPr>
                <w:rFonts w:ascii="Times New Roman" w:hAnsi="Times New Roman" w:cs="Times New Roman"/>
                <w:sz w:val="24"/>
                <w:szCs w:val="24"/>
              </w:rPr>
            </w:pPr>
            <w:r>
              <w:rPr>
                <w:rFonts w:ascii="Times New Roman" w:hAnsi="Times New Roman" w:cs="Times New Roman"/>
                <w:sz w:val="24"/>
                <w:szCs w:val="24"/>
              </w:rPr>
              <w:t>«</w:t>
            </w:r>
            <w:r w:rsidRPr="00A21D91">
              <w:rPr>
                <w:rFonts w:ascii="Times New Roman" w:hAnsi="Times New Roman" w:cs="Times New Roman"/>
                <w:sz w:val="24"/>
                <w:szCs w:val="24"/>
              </w:rPr>
              <w:t>Виконавчий орган акціонерного товариства здійснює управління поточною діяльністю товариства. До компетенції виконавчого органу належить вирішення всіх питань, пов'язаних з керівництвом поточною діяльністю товариства, крім питань, що належать до виключної компетенції загальних зборів та наглядової ради.</w:t>
            </w:r>
            <w:r>
              <w:rPr>
                <w:rFonts w:ascii="Times New Roman" w:hAnsi="Times New Roman" w:cs="Times New Roman"/>
                <w:sz w:val="24"/>
                <w:szCs w:val="24"/>
              </w:rPr>
              <w:t>»</w:t>
            </w:r>
          </w:p>
          <w:p w:rsidR="00016CA6" w:rsidRPr="00A21D91" w:rsidRDefault="00016CA6" w:rsidP="00016CA6">
            <w:pPr>
              <w:jc w:val="both"/>
              <w:rPr>
                <w:rFonts w:ascii="Times New Roman" w:hAnsi="Times New Roman" w:cs="Times New Roman"/>
                <w:sz w:val="24"/>
                <w:szCs w:val="24"/>
              </w:rPr>
            </w:pPr>
            <w:r>
              <w:rPr>
                <w:rFonts w:ascii="Times New Roman" w:hAnsi="Times New Roman" w:cs="Times New Roman"/>
                <w:sz w:val="24"/>
                <w:szCs w:val="24"/>
              </w:rPr>
              <w:t>«</w:t>
            </w:r>
            <w:r w:rsidRPr="00A21D91">
              <w:rPr>
                <w:rFonts w:ascii="Times New Roman" w:hAnsi="Times New Roman" w:cs="Times New Roman"/>
                <w:sz w:val="24"/>
                <w:szCs w:val="24"/>
              </w:rPr>
              <w:t>Правління діє на підставі законодавства, цього Статуту та положення про нього. Правління підзвітне загальним зборам і наглядовій раді, організовує виконання їх рішень. Правління діє від імені товариства у межах, установлених законодавством, цим Статутом і положенням про нього. Діяльність правління регулюється принципами економічної доцільності та спрямована на одержання прибутку.</w:t>
            </w:r>
            <w:r>
              <w:rPr>
                <w:rFonts w:ascii="Times New Roman" w:hAnsi="Times New Roman" w:cs="Times New Roman"/>
                <w:sz w:val="24"/>
                <w:szCs w:val="24"/>
              </w:rPr>
              <w:t>»</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rPr>
                <w:rFonts w:ascii="Times New Roman" w:hAnsi="Times New Roman" w:cs="Times New Roman"/>
                <w:sz w:val="24"/>
                <w:szCs w:val="24"/>
              </w:rPr>
            </w:pPr>
            <w:r w:rsidRPr="00CE02EA">
              <w:rPr>
                <w:rFonts w:ascii="Times New Roman" w:hAnsi="Times New Roman" w:cs="Times New Roman"/>
                <w:sz w:val="24"/>
                <w:szCs w:val="24"/>
              </w:rPr>
              <w:t>Винагорода членів правління</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sidRPr="00CE02EA">
              <w:rPr>
                <w:rFonts w:ascii="Times New Roman" w:hAnsi="Times New Roman" w:cs="Times New Roman"/>
                <w:sz w:val="24"/>
                <w:szCs w:val="24"/>
              </w:rPr>
              <w:t>Пункт 10</w:t>
            </w:r>
            <w:r>
              <w:rPr>
                <w:rFonts w:ascii="Times New Roman" w:hAnsi="Times New Roman" w:cs="Times New Roman"/>
                <w:sz w:val="24"/>
                <w:szCs w:val="24"/>
              </w:rPr>
              <w:t>4</w:t>
            </w:r>
            <w:r w:rsidRPr="00CE02EA">
              <w:rPr>
                <w:rFonts w:ascii="Times New Roman" w:hAnsi="Times New Roman" w:cs="Times New Roman"/>
                <w:sz w:val="24"/>
                <w:szCs w:val="24"/>
              </w:rPr>
              <w:t xml:space="preserve"> Статуту АТ «Укрзалізниця» </w:t>
            </w:r>
          </w:p>
          <w:p w:rsidR="00016CA6" w:rsidRPr="00CE02EA" w:rsidRDefault="00016CA6" w:rsidP="00016CA6">
            <w:pPr>
              <w:jc w:val="both"/>
              <w:rPr>
                <w:rFonts w:ascii="Times New Roman" w:hAnsi="Times New Roman" w:cs="Times New Roman"/>
                <w:sz w:val="24"/>
                <w:szCs w:val="24"/>
              </w:rPr>
            </w:pP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855584" w:rsidRDefault="00016CA6" w:rsidP="00016CA6">
            <w:pPr>
              <w:jc w:val="both"/>
              <w:rPr>
                <w:rFonts w:ascii="Times New Roman" w:hAnsi="Times New Roman" w:cs="Times New Roman"/>
                <w:sz w:val="24"/>
                <w:szCs w:val="24"/>
                <w:lang w:val="ru-RU"/>
              </w:rPr>
            </w:pPr>
            <w:r w:rsidRPr="00855584">
              <w:rPr>
                <w:rFonts w:ascii="Times New Roman" w:hAnsi="Times New Roman" w:cs="Times New Roman"/>
                <w:sz w:val="24"/>
                <w:szCs w:val="24"/>
              </w:rPr>
              <w:t>«</w:t>
            </w:r>
            <w:r w:rsidRPr="00855584">
              <w:rPr>
                <w:rFonts w:ascii="Times New Roman" w:eastAsia="Times New Roman" w:hAnsi="Times New Roman" w:cs="Times New Roman"/>
                <w:sz w:val="24"/>
                <w:szCs w:val="24"/>
                <w:lang w:eastAsia="ru-RU"/>
              </w:rPr>
              <w:t>Голові, заступникам голови та членам правління в установленому законодавством порядку виплачується винагорода на умовах, передбачених контрактами, укладеними з ними.</w:t>
            </w:r>
            <w:r w:rsidRPr="00855584">
              <w:rPr>
                <w:rFonts w:ascii="Times New Roman" w:hAnsi="Times New Roman" w:cs="Times New Roman"/>
                <w:sz w:val="24"/>
                <w:szCs w:val="24"/>
              </w:rPr>
              <w:t>»</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rPr>
                <w:rFonts w:ascii="Times New Roman" w:hAnsi="Times New Roman" w:cs="Times New Roman"/>
                <w:sz w:val="24"/>
                <w:szCs w:val="24"/>
              </w:rPr>
            </w:pPr>
            <w:r>
              <w:rPr>
                <w:rFonts w:ascii="Times New Roman" w:hAnsi="Times New Roman"/>
                <w:sz w:val="24"/>
                <w:szCs w:val="24"/>
              </w:rPr>
              <w:t>С</w:t>
            </w:r>
            <w:r w:rsidRPr="00CE02EA">
              <w:rPr>
                <w:rFonts w:ascii="Times New Roman" w:hAnsi="Times New Roman"/>
                <w:sz w:val="24"/>
                <w:szCs w:val="24"/>
              </w:rPr>
              <w:t>труктура та розмір винагороди</w:t>
            </w:r>
            <w:r>
              <w:rPr>
                <w:rFonts w:ascii="Times New Roman" w:hAnsi="Times New Roman"/>
                <w:sz w:val="24"/>
                <w:szCs w:val="24"/>
              </w:rPr>
              <w:t xml:space="preserve"> (заробітної плати)</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Pr>
                <w:rFonts w:ascii="Times New Roman" w:hAnsi="Times New Roman" w:cs="Times New Roman"/>
                <w:sz w:val="24"/>
                <w:szCs w:val="24"/>
              </w:rPr>
              <w:t xml:space="preserve">Пункт 75 </w:t>
            </w:r>
            <w:r w:rsidRPr="00CE02EA">
              <w:rPr>
                <w:rFonts w:ascii="Times New Roman" w:hAnsi="Times New Roman" w:cs="Times New Roman"/>
                <w:sz w:val="24"/>
                <w:szCs w:val="24"/>
              </w:rPr>
              <w:t>Положення про правління акціонерного товариства «Українська залізниця», затверджене постановою Кабінету Міністрів України від 12.06.2019 № 682</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Pr>
                <w:rFonts w:ascii="Times New Roman" w:hAnsi="Times New Roman" w:cs="Times New Roman"/>
                <w:sz w:val="24"/>
                <w:szCs w:val="24"/>
                <w:lang w:val="ru-RU"/>
              </w:rPr>
              <w:t>«</w:t>
            </w:r>
            <w:r w:rsidRPr="003B2087">
              <w:rPr>
                <w:rFonts w:ascii="Times New Roman" w:hAnsi="Times New Roman" w:cs="Times New Roman"/>
                <w:sz w:val="24"/>
                <w:szCs w:val="24"/>
              </w:rPr>
              <w:t xml:space="preserve">Структура та розмір винагороди голови, його заступників та членів правління формуються відповідно до законодавства та визначаються положенням про винагороду голови, його заступників та членів правління, затвердженим наглядовою радою, та регулярно переглядаються нею. Система винагород повинна відповідати структурі та рівню, встановленим на ринку, та враховувати </w:t>
            </w:r>
            <w:r w:rsidRPr="003B2087">
              <w:rPr>
                <w:rFonts w:ascii="Times New Roman" w:hAnsi="Times New Roman" w:cs="Times New Roman"/>
                <w:sz w:val="24"/>
                <w:szCs w:val="24"/>
              </w:rPr>
              <w:lastRenderedPageBreak/>
              <w:t>не лише персональні показники, але і бізнес-ситуацію товариства, його фінансовий стан та перспективи»</w:t>
            </w:r>
          </w:p>
        </w:tc>
      </w:tr>
      <w:tr w:rsidR="00016CA6" w:rsidTr="008B2A05">
        <w:trPr>
          <w:trHeight w:val="241"/>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rPr>
                <w:rFonts w:ascii="Times New Roman" w:hAnsi="Times New Roman" w:cs="Times New Roman"/>
                <w:sz w:val="24"/>
                <w:szCs w:val="24"/>
              </w:rPr>
            </w:pPr>
            <w:r>
              <w:rPr>
                <w:rFonts w:ascii="Times New Roman" w:hAnsi="Times New Roman" w:cs="Times New Roman"/>
                <w:sz w:val="24"/>
                <w:szCs w:val="24"/>
              </w:rPr>
              <w:lastRenderedPageBreak/>
              <w:t>З</w:t>
            </w:r>
            <w:r w:rsidRPr="00CE02EA">
              <w:rPr>
                <w:rFonts w:ascii="Times New Roman" w:hAnsi="Times New Roman" w:cs="Times New Roman"/>
                <w:sz w:val="24"/>
                <w:szCs w:val="24"/>
              </w:rPr>
              <w:t>атвердження умов контрактів, які укладатимуться з членами виконавчого органу, встановлення розміру їх винагороди</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bCs/>
                <w:sz w:val="24"/>
                <w:szCs w:val="24"/>
              </w:rPr>
            </w:pPr>
            <w:r>
              <w:rPr>
                <w:rFonts w:ascii="Times New Roman" w:hAnsi="Times New Roman" w:cs="Times New Roman"/>
                <w:bCs/>
                <w:sz w:val="24"/>
                <w:szCs w:val="24"/>
              </w:rPr>
              <w:t xml:space="preserve">Стаття </w:t>
            </w:r>
            <w:r w:rsidRPr="00CE02EA">
              <w:rPr>
                <w:rFonts w:ascii="Times New Roman" w:hAnsi="Times New Roman" w:cs="Times New Roman"/>
                <w:bCs/>
                <w:sz w:val="24"/>
                <w:szCs w:val="24"/>
              </w:rPr>
              <w:t>52 Закону України «Про акціонерні товариства»</w:t>
            </w:r>
          </w:p>
          <w:p w:rsidR="00016CA6" w:rsidRDefault="00016CA6" w:rsidP="00016CA6">
            <w:pPr>
              <w:jc w:val="both"/>
              <w:rPr>
                <w:rFonts w:ascii="Times New Roman" w:hAnsi="Times New Roman" w:cs="Times New Roman"/>
                <w:bCs/>
                <w:sz w:val="24"/>
                <w:szCs w:val="24"/>
              </w:rPr>
            </w:pPr>
          </w:p>
          <w:p w:rsidR="00016CA6" w:rsidRPr="00935D85" w:rsidRDefault="00016CA6" w:rsidP="00016CA6">
            <w:pPr>
              <w:jc w:val="both"/>
              <w:rPr>
                <w:rFonts w:ascii="Times New Roman" w:hAnsi="Times New Roman" w:cs="Times New Roman"/>
                <w:bCs/>
                <w:sz w:val="24"/>
                <w:szCs w:val="24"/>
              </w:rPr>
            </w:pPr>
            <w:r w:rsidRPr="00935D85">
              <w:rPr>
                <w:rFonts w:ascii="Times New Roman" w:hAnsi="Times New Roman" w:cs="Times New Roman"/>
                <w:bCs/>
                <w:sz w:val="24"/>
                <w:szCs w:val="24"/>
              </w:rPr>
              <w:t>Стаття 5</w:t>
            </w:r>
            <w:r>
              <w:rPr>
                <w:rFonts w:ascii="Times New Roman" w:hAnsi="Times New Roman" w:cs="Times New Roman"/>
                <w:bCs/>
                <w:sz w:val="24"/>
                <w:szCs w:val="24"/>
              </w:rPr>
              <w:t>6</w:t>
            </w:r>
            <w:r>
              <w:rPr>
                <w:rFonts w:ascii="Times New Roman" w:hAnsi="Times New Roman" w:cs="Times New Roman"/>
                <w:bCs/>
                <w:sz w:val="24"/>
                <w:szCs w:val="24"/>
                <w:vertAlign w:val="superscript"/>
              </w:rPr>
              <w:t>2</w:t>
            </w:r>
            <w:r w:rsidRPr="00935D85">
              <w:rPr>
                <w:rFonts w:ascii="Times New Roman" w:hAnsi="Times New Roman" w:cs="Times New Roman"/>
                <w:bCs/>
                <w:sz w:val="24"/>
                <w:szCs w:val="24"/>
              </w:rPr>
              <w:t xml:space="preserve"> Закону України «Про акціонерні товариства»</w:t>
            </w:r>
          </w:p>
          <w:p w:rsidR="00016CA6" w:rsidRPr="00CE02EA" w:rsidRDefault="00016CA6" w:rsidP="00016CA6">
            <w:pPr>
              <w:jc w:val="both"/>
              <w:rPr>
                <w:rFonts w:ascii="Times New Roman" w:hAnsi="Times New Roman" w:cs="Times New Roman"/>
                <w:bCs/>
                <w:sz w:val="24"/>
                <w:szCs w:val="24"/>
              </w:rPr>
            </w:pPr>
          </w:p>
          <w:p w:rsidR="00016CA6" w:rsidRDefault="00016CA6" w:rsidP="00016CA6">
            <w:pPr>
              <w:jc w:val="both"/>
              <w:rPr>
                <w:rFonts w:ascii="Times New Roman" w:hAnsi="Times New Roman" w:cs="Times New Roman"/>
                <w:bCs/>
                <w:sz w:val="24"/>
                <w:szCs w:val="24"/>
              </w:rPr>
            </w:pPr>
          </w:p>
          <w:p w:rsidR="00016CA6" w:rsidRPr="00CE02EA" w:rsidRDefault="00016CA6" w:rsidP="00016CA6">
            <w:pPr>
              <w:jc w:val="both"/>
              <w:rPr>
                <w:rFonts w:ascii="Times New Roman" w:hAnsi="Times New Roman" w:cs="Times New Roman"/>
                <w:bCs/>
                <w:sz w:val="24"/>
                <w:szCs w:val="24"/>
              </w:rPr>
            </w:pPr>
            <w:r w:rsidRPr="00CE02EA">
              <w:rPr>
                <w:rFonts w:ascii="Times New Roman" w:hAnsi="Times New Roman" w:cs="Times New Roman"/>
                <w:bCs/>
                <w:sz w:val="24"/>
                <w:szCs w:val="24"/>
              </w:rPr>
              <w:t xml:space="preserve">Підпункти 5, </w:t>
            </w:r>
            <w:r>
              <w:rPr>
                <w:rFonts w:ascii="Times New Roman" w:hAnsi="Times New Roman" w:cs="Times New Roman"/>
                <w:bCs/>
                <w:sz w:val="24"/>
                <w:szCs w:val="24"/>
              </w:rPr>
              <w:t>19</w:t>
            </w:r>
            <w:r w:rsidRPr="00CE02EA">
              <w:rPr>
                <w:rFonts w:ascii="Times New Roman" w:hAnsi="Times New Roman" w:cs="Times New Roman"/>
                <w:bCs/>
                <w:sz w:val="24"/>
                <w:szCs w:val="24"/>
              </w:rPr>
              <w:t xml:space="preserve"> пункту 71 Статуту АТ «Укрзалізниця»</w:t>
            </w:r>
          </w:p>
          <w:p w:rsidR="00016CA6" w:rsidRPr="00CE02EA" w:rsidRDefault="00016CA6" w:rsidP="00016CA6">
            <w:pPr>
              <w:jc w:val="both"/>
              <w:rPr>
                <w:rFonts w:ascii="Times New Roman" w:hAnsi="Times New Roman" w:cs="Times New Roman"/>
                <w:sz w:val="24"/>
                <w:szCs w:val="24"/>
              </w:rPr>
            </w:pP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935D85" w:rsidRDefault="00016CA6" w:rsidP="00016CA6">
            <w:pPr>
              <w:jc w:val="both"/>
              <w:rPr>
                <w:rFonts w:ascii="Times New Roman" w:hAnsi="Times New Roman" w:cs="Times New Roman"/>
                <w:bCs/>
                <w:sz w:val="24"/>
                <w:szCs w:val="24"/>
              </w:rPr>
            </w:pPr>
            <w:r w:rsidRPr="00935D85">
              <w:rPr>
                <w:rFonts w:ascii="Times New Roman" w:hAnsi="Times New Roman" w:cs="Times New Roman"/>
                <w:bCs/>
                <w:sz w:val="24"/>
                <w:szCs w:val="24"/>
              </w:rPr>
              <w:t xml:space="preserve">До виключної компетенції наглядової ради належить «затвердження умов контрактів, які укладатимуться з членами виконавчого органу, встановлення розміру їх винагороди» </w:t>
            </w:r>
          </w:p>
          <w:p w:rsidR="00016CA6" w:rsidRPr="00935D85" w:rsidRDefault="00016CA6" w:rsidP="00016CA6">
            <w:pPr>
              <w:jc w:val="both"/>
              <w:rPr>
                <w:rFonts w:ascii="Times New Roman" w:hAnsi="Times New Roman" w:cs="Times New Roman"/>
                <w:bCs/>
                <w:sz w:val="24"/>
                <w:szCs w:val="24"/>
              </w:rPr>
            </w:pPr>
            <w:r w:rsidRPr="00935D85">
              <w:rPr>
                <w:rFonts w:ascii="Times New Roman" w:hAnsi="Times New Roman" w:cs="Times New Roman"/>
                <w:bCs/>
                <w:sz w:val="24"/>
                <w:szCs w:val="24"/>
              </w:rPr>
              <w:t>До предмета відання комітету з винагород належать «надання пропозицій до наглядової ради щодо ключових показників ефективності та організація процедур періодичної оцінки їх виконання членами виконавчого органу товариства»</w:t>
            </w:r>
          </w:p>
          <w:p w:rsidR="00016CA6" w:rsidRPr="00CE02EA" w:rsidRDefault="00016CA6" w:rsidP="00016CA6">
            <w:pPr>
              <w:jc w:val="both"/>
              <w:rPr>
                <w:rFonts w:ascii="Times New Roman" w:hAnsi="Times New Roman" w:cs="Times New Roman"/>
                <w:sz w:val="24"/>
                <w:szCs w:val="24"/>
              </w:rPr>
            </w:pPr>
            <w:r w:rsidRPr="003F0FE7">
              <w:rPr>
                <w:rFonts w:ascii="Times New Roman" w:hAnsi="Times New Roman" w:cs="Times New Roman"/>
                <w:bCs/>
                <w:sz w:val="24"/>
                <w:szCs w:val="24"/>
              </w:rPr>
              <w:t>До виключної компетенції наглядової ради належить «затвердження умов контрактів та їх укладення з головою, його заступниками та членами правління товариства»; «затвердження показників ефективності роботи голови, його заступників та членів правління»</w:t>
            </w:r>
          </w:p>
        </w:tc>
      </w:tr>
      <w:tr w:rsidR="00016CA6" w:rsidTr="008B2A05">
        <w:trPr>
          <w:trHeight w:val="256"/>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rPr>
                <w:rFonts w:ascii="Times New Roman" w:hAnsi="Times New Roman" w:cs="Times New Roman"/>
                <w:sz w:val="24"/>
                <w:szCs w:val="24"/>
              </w:rPr>
            </w:pPr>
            <w:r w:rsidRPr="00CE02EA">
              <w:rPr>
                <w:rFonts w:ascii="Times New Roman" w:hAnsi="Times New Roman" w:cs="Times New Roman"/>
                <w:sz w:val="24"/>
                <w:szCs w:val="24"/>
              </w:rPr>
              <w:t xml:space="preserve">Основні принципи </w:t>
            </w:r>
            <w:r>
              <w:rPr>
                <w:rFonts w:ascii="Times New Roman" w:hAnsi="Times New Roman" w:cs="Times New Roman"/>
                <w:sz w:val="24"/>
                <w:szCs w:val="24"/>
              </w:rPr>
              <w:t>формування оплати праці (</w:t>
            </w:r>
            <w:r w:rsidRPr="00CE02EA">
              <w:rPr>
                <w:rFonts w:ascii="Times New Roman" w:hAnsi="Times New Roman" w:cs="Times New Roman"/>
                <w:sz w:val="24"/>
                <w:szCs w:val="24"/>
              </w:rPr>
              <w:t>винагороди</w:t>
            </w:r>
            <w:r>
              <w:rPr>
                <w:rFonts w:ascii="Times New Roman" w:hAnsi="Times New Roman" w:cs="Times New Roman"/>
                <w:sz w:val="24"/>
                <w:szCs w:val="24"/>
              </w:rPr>
              <w:t>)</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Pr>
                <w:rFonts w:ascii="Times New Roman" w:hAnsi="Times New Roman" w:cs="Times New Roman"/>
                <w:sz w:val="24"/>
                <w:szCs w:val="24"/>
              </w:rPr>
              <w:t>П</w:t>
            </w:r>
            <w:r w:rsidRPr="00CE02EA">
              <w:rPr>
                <w:rFonts w:ascii="Times New Roman" w:hAnsi="Times New Roman" w:cs="Times New Roman"/>
                <w:sz w:val="24"/>
                <w:szCs w:val="24"/>
              </w:rPr>
              <w:t>останов</w:t>
            </w:r>
            <w:r>
              <w:rPr>
                <w:rFonts w:ascii="Times New Roman" w:hAnsi="Times New Roman" w:cs="Times New Roman"/>
                <w:sz w:val="24"/>
                <w:szCs w:val="24"/>
              </w:rPr>
              <w:t>а</w:t>
            </w:r>
            <w:r w:rsidRPr="00CE02EA">
              <w:rPr>
                <w:rFonts w:ascii="Times New Roman" w:hAnsi="Times New Roman" w:cs="Times New Roman"/>
                <w:sz w:val="24"/>
                <w:szCs w:val="24"/>
              </w:rPr>
              <w:t xml:space="preserve"> Кабінету Міністрів України від 19.05.1999 № 859 «Про умови і розміри оплати праці керівників підприємств, заснованих на державній, комунальній власності, та об’єднань державних підприємств» (зі змінами)</w:t>
            </w:r>
            <w:r w:rsidRPr="00CE02EA">
              <w:rPr>
                <w:rFonts w:ascii="Times New Roman" w:hAnsi="Times New Roman" w:cs="Times New Roman"/>
                <w:bCs/>
                <w:sz w:val="24"/>
                <w:szCs w:val="24"/>
              </w:rPr>
              <w:t xml:space="preserve"> (далі – Постанова № 859)</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bCs/>
                <w:sz w:val="24"/>
                <w:szCs w:val="24"/>
              </w:rPr>
            </w:pPr>
            <w:r>
              <w:rPr>
                <w:rFonts w:ascii="Times New Roman" w:hAnsi="Times New Roman" w:cs="Times New Roman"/>
                <w:sz w:val="24"/>
                <w:szCs w:val="24"/>
              </w:rPr>
              <w:t>В</w:t>
            </w:r>
            <w:r w:rsidRPr="00CE02EA">
              <w:rPr>
                <w:rFonts w:ascii="Times New Roman" w:hAnsi="Times New Roman" w:cs="Times New Roman"/>
                <w:sz w:val="24"/>
                <w:szCs w:val="24"/>
              </w:rPr>
              <w:t xml:space="preserve">становлює показники </w:t>
            </w:r>
            <w:r w:rsidRPr="00CE02EA">
              <w:rPr>
                <w:rFonts w:ascii="Times New Roman" w:hAnsi="Times New Roman" w:cs="Times New Roman"/>
                <w:bCs/>
                <w:sz w:val="24"/>
                <w:szCs w:val="24"/>
              </w:rPr>
              <w:t>для визначення розміру посадового окладу керівника підприємства, заснованого на державній, комунальній власності</w:t>
            </w:r>
          </w:p>
          <w:p w:rsidR="00016CA6" w:rsidRDefault="00016CA6" w:rsidP="00016CA6">
            <w:pPr>
              <w:jc w:val="both"/>
              <w:rPr>
                <w:rFonts w:ascii="Times New Roman" w:hAnsi="Times New Roman" w:cs="Times New Roman"/>
                <w:bCs/>
                <w:sz w:val="24"/>
                <w:szCs w:val="24"/>
              </w:rPr>
            </w:pPr>
            <w:r w:rsidRPr="001D7A28">
              <w:rPr>
                <w:rFonts w:ascii="Times New Roman" w:hAnsi="Times New Roman" w:cs="Times New Roman"/>
                <w:bCs/>
                <w:sz w:val="24"/>
                <w:szCs w:val="24"/>
              </w:rPr>
              <w:t xml:space="preserve">Максимально допустимий розмір посадового окладу керівника підприємства, заснованого на державній власності, залежить від середньооблікової чисельності працівників в еквіваленті повної зайнятості за рік, вартості активів підприємства або чистого доходу від реалізації товарів (робіт, послуг), за даними останньої річної фінансової звітності, та розраховується у кратності до мінімального посадового окладу (ставки) працівника основної професії. </w:t>
            </w:r>
          </w:p>
          <w:p w:rsidR="00016CA6" w:rsidRPr="001D7A28" w:rsidRDefault="00016CA6" w:rsidP="00016CA6">
            <w:pPr>
              <w:jc w:val="both"/>
              <w:rPr>
                <w:rFonts w:ascii="Times New Roman" w:hAnsi="Times New Roman" w:cs="Times New Roman"/>
                <w:sz w:val="24"/>
                <w:szCs w:val="24"/>
              </w:rPr>
            </w:pPr>
            <w:r w:rsidRPr="001D7A28">
              <w:rPr>
                <w:rFonts w:ascii="Times New Roman" w:hAnsi="Times New Roman" w:cs="Times New Roman"/>
                <w:bCs/>
                <w:sz w:val="24"/>
                <w:szCs w:val="24"/>
              </w:rPr>
              <w:t>Відповідно до додатка до Постанови № 859 показники для визначення розміру посадового окладу керівника підприємства, заснованого на державній, комунальній власності поділяються на 5 груп. З урахуванням критеріїв, передбачених в даній постанові, посадовий оклад голови правління АТ «Укрзалізниця» відноситься до 5 групи та може становити до 200 мінімальних посадових окладів (ставок) працівника основної професії</w:t>
            </w:r>
          </w:p>
        </w:tc>
      </w:tr>
      <w:tr w:rsidR="00016CA6" w:rsidTr="008B2A05">
        <w:trPr>
          <w:trHeight w:val="241"/>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8B239E">
            <w:pPr>
              <w:rPr>
                <w:rFonts w:ascii="Times New Roman" w:hAnsi="Times New Roman" w:cs="Times New Roman"/>
                <w:sz w:val="24"/>
                <w:szCs w:val="24"/>
              </w:rPr>
            </w:pPr>
            <w:r w:rsidRPr="00CE02EA">
              <w:rPr>
                <w:rFonts w:ascii="Times New Roman" w:hAnsi="Times New Roman" w:cs="Times New Roman"/>
                <w:sz w:val="24"/>
                <w:szCs w:val="24"/>
              </w:rPr>
              <w:t>Умови, визначені у контракт</w:t>
            </w:r>
            <w:r>
              <w:rPr>
                <w:rFonts w:ascii="Times New Roman" w:hAnsi="Times New Roman" w:cs="Times New Roman"/>
                <w:sz w:val="24"/>
                <w:szCs w:val="24"/>
              </w:rPr>
              <w:t>і</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sidRPr="00CE02EA">
              <w:rPr>
                <w:rFonts w:ascii="Times New Roman" w:hAnsi="Times New Roman" w:cs="Times New Roman"/>
                <w:sz w:val="24"/>
                <w:szCs w:val="24"/>
              </w:rPr>
              <w:t>Контракт голови правління та член</w:t>
            </w:r>
            <w:r>
              <w:rPr>
                <w:rFonts w:ascii="Times New Roman" w:hAnsi="Times New Roman" w:cs="Times New Roman"/>
                <w:sz w:val="24"/>
                <w:szCs w:val="24"/>
              </w:rPr>
              <w:t>а</w:t>
            </w:r>
            <w:r w:rsidRPr="00CE02EA">
              <w:rPr>
                <w:rFonts w:ascii="Times New Roman" w:hAnsi="Times New Roman" w:cs="Times New Roman"/>
                <w:sz w:val="24"/>
                <w:szCs w:val="24"/>
              </w:rPr>
              <w:t xml:space="preserve"> правління </w:t>
            </w: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16CA6" w:rsidRPr="00CE02EA" w:rsidRDefault="00016CA6" w:rsidP="00016CA6">
            <w:pPr>
              <w:jc w:val="both"/>
              <w:rPr>
                <w:rFonts w:ascii="Times New Roman" w:hAnsi="Times New Roman" w:cs="Times New Roman"/>
                <w:sz w:val="24"/>
                <w:szCs w:val="24"/>
              </w:rPr>
            </w:pPr>
            <w:r w:rsidRPr="00CE02EA">
              <w:rPr>
                <w:rFonts w:ascii="Times New Roman" w:hAnsi="Times New Roman" w:cs="Times New Roman"/>
                <w:sz w:val="24"/>
                <w:szCs w:val="24"/>
              </w:rPr>
              <w:t xml:space="preserve">За виконання обов’язків, передбачених </w:t>
            </w:r>
            <w:r>
              <w:rPr>
                <w:rFonts w:ascii="Times New Roman" w:hAnsi="Times New Roman" w:cs="Times New Roman"/>
                <w:sz w:val="24"/>
                <w:szCs w:val="24"/>
              </w:rPr>
              <w:t>к</w:t>
            </w:r>
            <w:r w:rsidRPr="00CE02EA">
              <w:rPr>
                <w:rFonts w:ascii="Times New Roman" w:hAnsi="Times New Roman" w:cs="Times New Roman"/>
                <w:sz w:val="24"/>
                <w:szCs w:val="24"/>
              </w:rPr>
              <w:t xml:space="preserve">онтрактом, </w:t>
            </w:r>
            <w:r>
              <w:rPr>
                <w:rFonts w:ascii="Times New Roman" w:hAnsi="Times New Roman" w:cs="Times New Roman"/>
                <w:sz w:val="24"/>
                <w:szCs w:val="24"/>
              </w:rPr>
              <w:t>г</w:t>
            </w:r>
            <w:r w:rsidRPr="00CE02EA">
              <w:rPr>
                <w:rFonts w:ascii="Times New Roman" w:hAnsi="Times New Roman" w:cs="Times New Roman"/>
                <w:sz w:val="24"/>
                <w:szCs w:val="24"/>
              </w:rPr>
              <w:t>олові правління</w:t>
            </w:r>
            <w:r>
              <w:rPr>
                <w:rFonts w:ascii="Times New Roman" w:hAnsi="Times New Roman" w:cs="Times New Roman"/>
                <w:sz w:val="24"/>
                <w:szCs w:val="24"/>
              </w:rPr>
              <w:t xml:space="preserve"> та члену правління </w:t>
            </w:r>
            <w:r w:rsidRPr="00CE02EA">
              <w:rPr>
                <w:rFonts w:ascii="Times New Roman" w:hAnsi="Times New Roman" w:cs="Times New Roman"/>
                <w:sz w:val="24"/>
                <w:szCs w:val="24"/>
              </w:rPr>
              <w:t xml:space="preserve">за рахунок коштів Товариства виплачується місячна заробітна плата </w:t>
            </w:r>
            <w:r>
              <w:rPr>
                <w:rFonts w:ascii="Times New Roman" w:hAnsi="Times New Roman" w:cs="Times New Roman"/>
                <w:sz w:val="24"/>
                <w:szCs w:val="24"/>
              </w:rPr>
              <w:t>та річна заохочувальна премія</w:t>
            </w:r>
            <w:r w:rsidRPr="00CE02EA">
              <w:rPr>
                <w:rFonts w:ascii="Times New Roman" w:hAnsi="Times New Roman" w:cs="Times New Roman"/>
                <w:sz w:val="24"/>
                <w:szCs w:val="24"/>
              </w:rPr>
              <w:t>.</w:t>
            </w:r>
          </w:p>
          <w:p w:rsidR="00016CA6" w:rsidRPr="00CE02EA" w:rsidRDefault="00016CA6" w:rsidP="00016CA6">
            <w:pPr>
              <w:jc w:val="both"/>
              <w:rPr>
                <w:rFonts w:ascii="Times New Roman" w:hAnsi="Times New Roman" w:cs="Times New Roman"/>
                <w:sz w:val="24"/>
                <w:szCs w:val="24"/>
              </w:rPr>
            </w:pPr>
            <w:r w:rsidRPr="00CE02EA">
              <w:rPr>
                <w:rFonts w:ascii="Times New Roman" w:hAnsi="Times New Roman" w:cs="Times New Roman"/>
                <w:sz w:val="24"/>
                <w:szCs w:val="24"/>
              </w:rPr>
              <w:t xml:space="preserve">Розмір річної заохочувальної премії залежить від оцінки </w:t>
            </w:r>
            <w:r>
              <w:rPr>
                <w:rFonts w:ascii="Times New Roman" w:hAnsi="Times New Roman" w:cs="Times New Roman"/>
                <w:sz w:val="24"/>
                <w:szCs w:val="24"/>
              </w:rPr>
              <w:t>н</w:t>
            </w:r>
            <w:r w:rsidRPr="00CE02EA">
              <w:rPr>
                <w:rFonts w:ascii="Times New Roman" w:hAnsi="Times New Roman" w:cs="Times New Roman"/>
                <w:sz w:val="24"/>
                <w:szCs w:val="24"/>
              </w:rPr>
              <w:t xml:space="preserve">аглядовою </w:t>
            </w:r>
            <w:r>
              <w:rPr>
                <w:rFonts w:ascii="Times New Roman" w:hAnsi="Times New Roman" w:cs="Times New Roman"/>
                <w:sz w:val="24"/>
                <w:szCs w:val="24"/>
              </w:rPr>
              <w:t>радою стану виконання г</w:t>
            </w:r>
            <w:r w:rsidRPr="00CE02EA">
              <w:rPr>
                <w:rFonts w:ascii="Times New Roman" w:hAnsi="Times New Roman" w:cs="Times New Roman"/>
                <w:sz w:val="24"/>
                <w:szCs w:val="24"/>
              </w:rPr>
              <w:t xml:space="preserve">оловою </w:t>
            </w:r>
            <w:r>
              <w:rPr>
                <w:rFonts w:ascii="Times New Roman" w:hAnsi="Times New Roman" w:cs="Times New Roman"/>
                <w:sz w:val="24"/>
                <w:szCs w:val="24"/>
              </w:rPr>
              <w:t>п</w:t>
            </w:r>
            <w:r w:rsidRPr="00CE02EA">
              <w:rPr>
                <w:rFonts w:ascii="Times New Roman" w:hAnsi="Times New Roman" w:cs="Times New Roman"/>
                <w:sz w:val="24"/>
                <w:szCs w:val="24"/>
              </w:rPr>
              <w:t xml:space="preserve">равління </w:t>
            </w:r>
            <w:r>
              <w:rPr>
                <w:rFonts w:ascii="Times New Roman" w:hAnsi="Times New Roman" w:cs="Times New Roman"/>
                <w:sz w:val="24"/>
                <w:szCs w:val="24"/>
              </w:rPr>
              <w:t xml:space="preserve">(членом правління) </w:t>
            </w:r>
            <w:r w:rsidRPr="00CE02EA">
              <w:rPr>
                <w:rFonts w:ascii="Times New Roman" w:hAnsi="Times New Roman" w:cs="Times New Roman"/>
                <w:sz w:val="24"/>
                <w:szCs w:val="24"/>
              </w:rPr>
              <w:t xml:space="preserve">встановлених </w:t>
            </w:r>
            <w:r>
              <w:rPr>
                <w:rFonts w:ascii="Times New Roman" w:hAnsi="Times New Roman" w:cs="Times New Roman"/>
                <w:sz w:val="24"/>
                <w:szCs w:val="24"/>
              </w:rPr>
              <w:t>н</w:t>
            </w:r>
            <w:r w:rsidRPr="00CE02EA">
              <w:rPr>
                <w:rFonts w:ascii="Times New Roman" w:hAnsi="Times New Roman" w:cs="Times New Roman"/>
                <w:sz w:val="24"/>
                <w:szCs w:val="24"/>
              </w:rPr>
              <w:t xml:space="preserve">аглядовою </w:t>
            </w:r>
            <w:r>
              <w:rPr>
                <w:rFonts w:ascii="Times New Roman" w:hAnsi="Times New Roman" w:cs="Times New Roman"/>
                <w:sz w:val="24"/>
                <w:szCs w:val="24"/>
              </w:rPr>
              <w:t>р</w:t>
            </w:r>
            <w:r w:rsidRPr="00CE02EA">
              <w:rPr>
                <w:rFonts w:ascii="Times New Roman" w:hAnsi="Times New Roman" w:cs="Times New Roman"/>
                <w:sz w:val="24"/>
                <w:szCs w:val="24"/>
              </w:rPr>
              <w:t xml:space="preserve">адою ключових показників ефективності </w:t>
            </w:r>
            <w:r>
              <w:rPr>
                <w:rFonts w:ascii="Times New Roman" w:hAnsi="Times New Roman" w:cs="Times New Roman"/>
                <w:sz w:val="24"/>
                <w:szCs w:val="24"/>
              </w:rPr>
              <w:t>та досягнення конкретних цілей.</w:t>
            </w:r>
          </w:p>
        </w:tc>
      </w:tr>
      <w:tr w:rsidR="00AE377F" w:rsidTr="00B40FBE">
        <w:trPr>
          <w:trHeight w:val="64"/>
        </w:trPr>
        <w:tc>
          <w:tcPr>
            <w:tcW w:w="25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77F" w:rsidRPr="00363D3D" w:rsidRDefault="00AE377F" w:rsidP="00AD20C6">
            <w:pPr>
              <w:rPr>
                <w:rFonts w:ascii="Times New Roman" w:hAnsi="Times New Roman" w:cs="Times New Roman"/>
                <w:sz w:val="24"/>
                <w:szCs w:val="24"/>
              </w:rPr>
            </w:pPr>
            <w:r w:rsidRPr="00363D3D">
              <w:rPr>
                <w:rFonts w:ascii="Times New Roman" w:hAnsi="Times New Roman" w:cs="Times New Roman"/>
                <w:sz w:val="24"/>
                <w:szCs w:val="24"/>
              </w:rPr>
              <w:t xml:space="preserve">Фактичні дані за </w:t>
            </w:r>
            <w:r w:rsidR="00AD20C6">
              <w:rPr>
                <w:rFonts w:ascii="Times New Roman" w:hAnsi="Times New Roman" w:cs="Times New Roman"/>
                <w:sz w:val="24"/>
                <w:szCs w:val="24"/>
              </w:rPr>
              <w:t>січень</w:t>
            </w:r>
            <w:r w:rsidRPr="00363D3D">
              <w:rPr>
                <w:rFonts w:ascii="Times New Roman" w:hAnsi="Times New Roman" w:cs="Times New Roman"/>
                <w:sz w:val="24"/>
                <w:szCs w:val="24"/>
              </w:rPr>
              <w:t xml:space="preserve"> 202</w:t>
            </w:r>
            <w:r w:rsidR="00AD20C6">
              <w:rPr>
                <w:rFonts w:ascii="Times New Roman" w:hAnsi="Times New Roman" w:cs="Times New Roman"/>
                <w:sz w:val="24"/>
                <w:szCs w:val="24"/>
              </w:rPr>
              <w:t>2</w:t>
            </w:r>
            <w:r w:rsidRPr="00363D3D">
              <w:rPr>
                <w:rFonts w:ascii="Times New Roman" w:hAnsi="Times New Roman" w:cs="Times New Roman"/>
                <w:sz w:val="24"/>
                <w:szCs w:val="24"/>
              </w:rPr>
              <w:t xml:space="preserve"> рік</w:t>
            </w:r>
          </w:p>
        </w:tc>
        <w:tc>
          <w:tcPr>
            <w:tcW w:w="53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77F" w:rsidRPr="00363D3D" w:rsidRDefault="00AE377F" w:rsidP="00AE377F">
            <w:pPr>
              <w:jc w:val="both"/>
              <w:rPr>
                <w:rFonts w:ascii="Times New Roman" w:hAnsi="Times New Roman" w:cs="Times New Roman"/>
              </w:rPr>
            </w:pPr>
          </w:p>
        </w:tc>
        <w:tc>
          <w:tcPr>
            <w:tcW w:w="83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E79B5" w:rsidRPr="00363D3D" w:rsidRDefault="00AE377F" w:rsidP="0057511E">
            <w:pPr>
              <w:jc w:val="both"/>
              <w:rPr>
                <w:rFonts w:ascii="Times New Roman" w:eastAsia="Times New Roman" w:hAnsi="Times New Roman" w:cs="Times New Roman"/>
                <w:sz w:val="24"/>
                <w:szCs w:val="24"/>
                <w:lang w:eastAsia="ru-RU"/>
              </w:rPr>
            </w:pPr>
            <w:r w:rsidRPr="00363D3D">
              <w:rPr>
                <w:rFonts w:ascii="Times New Roman" w:eastAsia="Times New Roman" w:hAnsi="Times New Roman" w:cs="Times New Roman"/>
                <w:sz w:val="24"/>
                <w:szCs w:val="24"/>
                <w:lang w:eastAsia="ru-RU"/>
              </w:rPr>
              <w:t xml:space="preserve">Станом на </w:t>
            </w:r>
            <w:r w:rsidR="0057511E">
              <w:rPr>
                <w:rFonts w:ascii="Times New Roman" w:eastAsia="Times New Roman" w:hAnsi="Times New Roman" w:cs="Times New Roman"/>
                <w:sz w:val="24"/>
                <w:szCs w:val="24"/>
                <w:lang w:eastAsia="ru-RU"/>
              </w:rPr>
              <w:t>31.01</w:t>
            </w:r>
            <w:bookmarkStart w:id="0" w:name="_GoBack"/>
            <w:bookmarkEnd w:id="0"/>
            <w:r w:rsidRPr="00363D3D">
              <w:rPr>
                <w:rFonts w:ascii="Times New Roman" w:eastAsia="Times New Roman" w:hAnsi="Times New Roman" w:cs="Times New Roman"/>
                <w:sz w:val="24"/>
                <w:szCs w:val="24"/>
                <w:lang w:eastAsia="ru-RU"/>
              </w:rPr>
              <w:t>.202</w:t>
            </w:r>
            <w:r w:rsidR="00AD20C6">
              <w:rPr>
                <w:rFonts w:ascii="Times New Roman" w:eastAsia="Times New Roman" w:hAnsi="Times New Roman" w:cs="Times New Roman"/>
                <w:sz w:val="24"/>
                <w:szCs w:val="24"/>
                <w:lang w:eastAsia="ru-RU"/>
              </w:rPr>
              <w:t>2</w:t>
            </w:r>
            <w:r w:rsidRPr="00363D3D">
              <w:rPr>
                <w:rFonts w:ascii="Times New Roman" w:eastAsia="Times New Roman" w:hAnsi="Times New Roman" w:cs="Times New Roman"/>
                <w:sz w:val="24"/>
                <w:szCs w:val="24"/>
                <w:lang w:eastAsia="ru-RU"/>
              </w:rPr>
              <w:t xml:space="preserve"> винагорода членам виконавчого органу (правління) за </w:t>
            </w:r>
            <w:r w:rsidR="00AD20C6">
              <w:rPr>
                <w:rFonts w:ascii="Times New Roman" w:eastAsia="Times New Roman" w:hAnsi="Times New Roman" w:cs="Times New Roman"/>
                <w:sz w:val="24"/>
                <w:szCs w:val="24"/>
                <w:lang w:eastAsia="ru-RU"/>
              </w:rPr>
              <w:t>січень місяць 2022</w:t>
            </w:r>
            <w:r w:rsidRPr="00363D3D">
              <w:rPr>
                <w:rFonts w:ascii="Times New Roman" w:eastAsia="Times New Roman" w:hAnsi="Times New Roman" w:cs="Times New Roman"/>
                <w:sz w:val="24"/>
                <w:szCs w:val="24"/>
                <w:lang w:eastAsia="ru-RU"/>
              </w:rPr>
              <w:t xml:space="preserve"> року </w:t>
            </w:r>
            <w:r w:rsidR="001B3798">
              <w:rPr>
                <w:rFonts w:ascii="Times New Roman" w:eastAsia="Times New Roman" w:hAnsi="Times New Roman" w:cs="Times New Roman"/>
                <w:sz w:val="24"/>
                <w:szCs w:val="24"/>
                <w:lang w:eastAsia="ru-RU"/>
              </w:rPr>
              <w:t>не нараховувалась</w:t>
            </w:r>
            <w:r w:rsidR="00C0765A">
              <w:rPr>
                <w:rFonts w:ascii="Times New Roman" w:eastAsia="Times New Roman" w:hAnsi="Times New Roman" w:cs="Times New Roman"/>
                <w:sz w:val="24"/>
                <w:szCs w:val="24"/>
                <w:lang w:eastAsia="ru-RU"/>
              </w:rPr>
              <w:t xml:space="preserve">. </w:t>
            </w:r>
            <w:r w:rsidR="00902812">
              <w:rPr>
                <w:rFonts w:ascii="Times New Roman" w:eastAsia="Times New Roman" w:hAnsi="Times New Roman" w:cs="Times New Roman"/>
                <w:sz w:val="24"/>
                <w:szCs w:val="24"/>
                <w:lang w:eastAsia="ru-RU"/>
              </w:rPr>
              <w:t>Здійснено н</w:t>
            </w:r>
            <w:r w:rsidR="00C0765A">
              <w:rPr>
                <w:rFonts w:ascii="Times New Roman" w:eastAsia="Times New Roman" w:hAnsi="Times New Roman" w:cs="Times New Roman"/>
                <w:sz w:val="24"/>
                <w:szCs w:val="24"/>
                <w:lang w:eastAsia="ru-RU"/>
              </w:rPr>
              <w:t>арах</w:t>
            </w:r>
            <w:r w:rsidR="00902812">
              <w:rPr>
                <w:rFonts w:ascii="Times New Roman" w:eastAsia="Times New Roman" w:hAnsi="Times New Roman" w:cs="Times New Roman"/>
                <w:sz w:val="24"/>
                <w:szCs w:val="24"/>
                <w:lang w:eastAsia="ru-RU"/>
              </w:rPr>
              <w:t>у</w:t>
            </w:r>
            <w:r w:rsidR="00C0765A">
              <w:rPr>
                <w:rFonts w:ascii="Times New Roman" w:eastAsia="Times New Roman" w:hAnsi="Times New Roman" w:cs="Times New Roman"/>
                <w:sz w:val="24"/>
                <w:szCs w:val="24"/>
                <w:lang w:eastAsia="ru-RU"/>
              </w:rPr>
              <w:t>ван</w:t>
            </w:r>
            <w:r w:rsidR="00902812">
              <w:rPr>
                <w:rFonts w:ascii="Times New Roman" w:eastAsia="Times New Roman" w:hAnsi="Times New Roman" w:cs="Times New Roman"/>
                <w:sz w:val="24"/>
                <w:szCs w:val="24"/>
                <w:lang w:eastAsia="ru-RU"/>
              </w:rPr>
              <w:t>ня інших виплат, зокрема</w:t>
            </w:r>
            <w:r w:rsidR="00C0765A">
              <w:rPr>
                <w:rFonts w:ascii="Times New Roman" w:eastAsia="Times New Roman" w:hAnsi="Times New Roman" w:cs="Times New Roman"/>
                <w:sz w:val="24"/>
                <w:szCs w:val="24"/>
                <w:lang w:eastAsia="ru-RU"/>
              </w:rPr>
              <w:t>: о</w:t>
            </w:r>
            <w:r w:rsidR="00C0765A" w:rsidRPr="00C0765A">
              <w:rPr>
                <w:rFonts w:ascii="Times New Roman" w:eastAsia="Times New Roman" w:hAnsi="Times New Roman" w:cs="Times New Roman"/>
                <w:sz w:val="24"/>
                <w:szCs w:val="24"/>
                <w:lang w:eastAsia="ru-RU"/>
              </w:rPr>
              <w:t xml:space="preserve">плата праці за час перебування у відрядженні за середнім заробітком </w:t>
            </w:r>
            <w:r w:rsidR="00AD20C6">
              <w:rPr>
                <w:rFonts w:ascii="Times New Roman" w:eastAsia="Times New Roman" w:hAnsi="Times New Roman" w:cs="Times New Roman"/>
                <w:sz w:val="24"/>
                <w:szCs w:val="24"/>
                <w:lang w:eastAsia="ru-RU"/>
              </w:rPr>
              <w:t>20 525,12</w:t>
            </w:r>
            <w:r w:rsidR="00C0765A">
              <w:rPr>
                <w:rFonts w:ascii="Times New Roman" w:eastAsia="Times New Roman" w:hAnsi="Times New Roman" w:cs="Times New Roman"/>
                <w:sz w:val="24"/>
                <w:szCs w:val="24"/>
                <w:lang w:eastAsia="ru-RU"/>
              </w:rPr>
              <w:t xml:space="preserve"> грн.; </w:t>
            </w:r>
            <w:r w:rsidR="00E010F3">
              <w:rPr>
                <w:rFonts w:ascii="Times New Roman" w:eastAsia="Times New Roman" w:hAnsi="Times New Roman" w:cs="Times New Roman"/>
                <w:sz w:val="24"/>
                <w:szCs w:val="24"/>
                <w:lang w:eastAsia="ru-RU"/>
              </w:rPr>
              <w:t>д</w:t>
            </w:r>
            <w:r w:rsidR="00E010F3" w:rsidRPr="00E010F3">
              <w:rPr>
                <w:rFonts w:ascii="Times New Roman" w:eastAsia="Times New Roman" w:hAnsi="Times New Roman" w:cs="Times New Roman"/>
                <w:sz w:val="24"/>
                <w:szCs w:val="24"/>
                <w:lang w:eastAsia="ru-RU"/>
              </w:rPr>
              <w:t xml:space="preserve">опомога по тимчасовій непрацездатності </w:t>
            </w:r>
            <w:r w:rsidR="00AD20C6">
              <w:rPr>
                <w:rFonts w:ascii="Times New Roman" w:eastAsia="Times New Roman" w:hAnsi="Times New Roman" w:cs="Times New Roman"/>
                <w:sz w:val="24"/>
                <w:szCs w:val="24"/>
                <w:lang w:eastAsia="ru-RU"/>
              </w:rPr>
              <w:t>3 202,95</w:t>
            </w:r>
            <w:r w:rsidR="00E010F3">
              <w:rPr>
                <w:rFonts w:ascii="Times New Roman" w:eastAsia="Times New Roman" w:hAnsi="Times New Roman" w:cs="Times New Roman"/>
                <w:sz w:val="24"/>
                <w:szCs w:val="24"/>
                <w:lang w:eastAsia="ru-RU"/>
              </w:rPr>
              <w:t xml:space="preserve"> грн.</w:t>
            </w:r>
          </w:p>
        </w:tc>
      </w:tr>
    </w:tbl>
    <w:p w:rsidR="00FF1533" w:rsidRPr="00B40FBE" w:rsidRDefault="00FF1533">
      <w:pPr>
        <w:rPr>
          <w:rFonts w:ascii="Times New Roman" w:hAnsi="Times New Roman" w:cs="Times New Roman"/>
        </w:rPr>
      </w:pPr>
    </w:p>
    <w:sectPr w:rsidR="00FF1533" w:rsidRPr="00B40FBE" w:rsidSect="007C026A">
      <w:footerReference w:type="default" r:id="rId6"/>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6D9" w:rsidRDefault="00CC56D9" w:rsidP="004E2C6C">
      <w:pPr>
        <w:spacing w:after="0" w:line="240" w:lineRule="auto"/>
      </w:pPr>
      <w:r>
        <w:separator/>
      </w:r>
    </w:p>
  </w:endnote>
  <w:endnote w:type="continuationSeparator" w:id="0">
    <w:p w:rsidR="00CC56D9" w:rsidRDefault="00CC56D9" w:rsidP="004E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559671"/>
      <w:docPartObj>
        <w:docPartGallery w:val="Page Numbers (Bottom of Page)"/>
        <w:docPartUnique/>
      </w:docPartObj>
    </w:sdtPr>
    <w:sdtEndPr/>
    <w:sdtContent>
      <w:p w:rsidR="004E2C6C" w:rsidRDefault="004E2C6C">
        <w:pPr>
          <w:pStyle w:val="a8"/>
          <w:jc w:val="right"/>
        </w:pPr>
        <w:r>
          <w:fldChar w:fldCharType="begin"/>
        </w:r>
        <w:r>
          <w:instrText>PAGE   \* MERGEFORMAT</w:instrText>
        </w:r>
        <w:r>
          <w:fldChar w:fldCharType="separate"/>
        </w:r>
        <w:r w:rsidR="00CC56D9" w:rsidRPr="00CC56D9">
          <w:rPr>
            <w:noProof/>
            <w:lang w:val="ru-RU"/>
          </w:rPr>
          <w:t>1</w:t>
        </w:r>
        <w:r>
          <w:fldChar w:fldCharType="end"/>
        </w:r>
      </w:p>
    </w:sdtContent>
  </w:sdt>
  <w:p w:rsidR="004E2C6C" w:rsidRDefault="004E2C6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6D9" w:rsidRDefault="00CC56D9" w:rsidP="004E2C6C">
      <w:pPr>
        <w:spacing w:after="0" w:line="240" w:lineRule="auto"/>
      </w:pPr>
      <w:r>
        <w:separator/>
      </w:r>
    </w:p>
  </w:footnote>
  <w:footnote w:type="continuationSeparator" w:id="0">
    <w:p w:rsidR="00CC56D9" w:rsidRDefault="00CC56D9" w:rsidP="004E2C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533"/>
    <w:rsid w:val="00016CA6"/>
    <w:rsid w:val="000C7413"/>
    <w:rsid w:val="000D3F79"/>
    <w:rsid w:val="000E413F"/>
    <w:rsid w:val="000E79B5"/>
    <w:rsid w:val="0017723C"/>
    <w:rsid w:val="00197FA1"/>
    <w:rsid w:val="001B3798"/>
    <w:rsid w:val="001B73BC"/>
    <w:rsid w:val="001D3CB1"/>
    <w:rsid w:val="001D7A28"/>
    <w:rsid w:val="001E45DE"/>
    <w:rsid w:val="00240583"/>
    <w:rsid w:val="00253484"/>
    <w:rsid w:val="00260A19"/>
    <w:rsid w:val="002A6D25"/>
    <w:rsid w:val="002B5DA3"/>
    <w:rsid w:val="002D31A4"/>
    <w:rsid w:val="00305706"/>
    <w:rsid w:val="00363D3D"/>
    <w:rsid w:val="003752A5"/>
    <w:rsid w:val="003B2087"/>
    <w:rsid w:val="003B3871"/>
    <w:rsid w:val="003E4534"/>
    <w:rsid w:val="003F0FE7"/>
    <w:rsid w:val="003F7A40"/>
    <w:rsid w:val="00407C65"/>
    <w:rsid w:val="0041185B"/>
    <w:rsid w:val="00441A01"/>
    <w:rsid w:val="00447CE4"/>
    <w:rsid w:val="00451759"/>
    <w:rsid w:val="00453831"/>
    <w:rsid w:val="004762D0"/>
    <w:rsid w:val="00477F05"/>
    <w:rsid w:val="004E2C6C"/>
    <w:rsid w:val="005443BE"/>
    <w:rsid w:val="0057511E"/>
    <w:rsid w:val="0057792B"/>
    <w:rsid w:val="005955C4"/>
    <w:rsid w:val="005E465A"/>
    <w:rsid w:val="005F40D5"/>
    <w:rsid w:val="006173BB"/>
    <w:rsid w:val="006524DB"/>
    <w:rsid w:val="006719ED"/>
    <w:rsid w:val="00675EEB"/>
    <w:rsid w:val="006B483F"/>
    <w:rsid w:val="006C2D48"/>
    <w:rsid w:val="006F6C47"/>
    <w:rsid w:val="00717357"/>
    <w:rsid w:val="00734629"/>
    <w:rsid w:val="00775AF1"/>
    <w:rsid w:val="0078001F"/>
    <w:rsid w:val="007A7ECD"/>
    <w:rsid w:val="007C026A"/>
    <w:rsid w:val="007E4B9E"/>
    <w:rsid w:val="007E715C"/>
    <w:rsid w:val="0080431C"/>
    <w:rsid w:val="00855584"/>
    <w:rsid w:val="00862F8D"/>
    <w:rsid w:val="008720E2"/>
    <w:rsid w:val="008776AA"/>
    <w:rsid w:val="00885472"/>
    <w:rsid w:val="00885E41"/>
    <w:rsid w:val="00895DC4"/>
    <w:rsid w:val="008B239E"/>
    <w:rsid w:val="008B2A05"/>
    <w:rsid w:val="008C3761"/>
    <w:rsid w:val="008D04CA"/>
    <w:rsid w:val="008E46BD"/>
    <w:rsid w:val="008F12D7"/>
    <w:rsid w:val="0090103D"/>
    <w:rsid w:val="00902812"/>
    <w:rsid w:val="00935D85"/>
    <w:rsid w:val="00987CD6"/>
    <w:rsid w:val="009939DD"/>
    <w:rsid w:val="009A1270"/>
    <w:rsid w:val="00A0620B"/>
    <w:rsid w:val="00A138FE"/>
    <w:rsid w:val="00A21D91"/>
    <w:rsid w:val="00A85BF3"/>
    <w:rsid w:val="00A92D04"/>
    <w:rsid w:val="00AA1C5E"/>
    <w:rsid w:val="00AB2418"/>
    <w:rsid w:val="00AC1211"/>
    <w:rsid w:val="00AD20C6"/>
    <w:rsid w:val="00AE377F"/>
    <w:rsid w:val="00B40FBE"/>
    <w:rsid w:val="00B42C48"/>
    <w:rsid w:val="00B677BA"/>
    <w:rsid w:val="00B723D6"/>
    <w:rsid w:val="00BC529E"/>
    <w:rsid w:val="00BC65D1"/>
    <w:rsid w:val="00BE4966"/>
    <w:rsid w:val="00BF2F27"/>
    <w:rsid w:val="00BF4176"/>
    <w:rsid w:val="00C0765A"/>
    <w:rsid w:val="00C17281"/>
    <w:rsid w:val="00CB62BC"/>
    <w:rsid w:val="00CC56D9"/>
    <w:rsid w:val="00CE02EA"/>
    <w:rsid w:val="00CF2E31"/>
    <w:rsid w:val="00D00370"/>
    <w:rsid w:val="00D026F4"/>
    <w:rsid w:val="00D23D44"/>
    <w:rsid w:val="00D72E8C"/>
    <w:rsid w:val="00DC384F"/>
    <w:rsid w:val="00E010F3"/>
    <w:rsid w:val="00E020A1"/>
    <w:rsid w:val="00E30917"/>
    <w:rsid w:val="00E51BBD"/>
    <w:rsid w:val="00EA0630"/>
    <w:rsid w:val="00EA5866"/>
    <w:rsid w:val="00EA78F4"/>
    <w:rsid w:val="00EB116D"/>
    <w:rsid w:val="00ED0E48"/>
    <w:rsid w:val="00EF1C18"/>
    <w:rsid w:val="00F37BEC"/>
    <w:rsid w:val="00F95FB2"/>
    <w:rsid w:val="00FB5097"/>
    <w:rsid w:val="00FB7A1B"/>
    <w:rsid w:val="00FC18F6"/>
    <w:rsid w:val="00FF1533"/>
    <w:rsid w:val="00FF2DB2"/>
    <w:rsid w:val="00FF5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6631E-28DC-49E9-AFAE-8540D241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78001F"/>
  </w:style>
  <w:style w:type="paragraph" w:styleId="a4">
    <w:name w:val="Balloon Text"/>
    <w:basedOn w:val="a"/>
    <w:link w:val="a5"/>
    <w:uiPriority w:val="99"/>
    <w:semiHidden/>
    <w:unhideWhenUsed/>
    <w:rsid w:val="007E4B9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E4B9E"/>
    <w:rPr>
      <w:rFonts w:ascii="Segoe UI" w:hAnsi="Segoe UI" w:cs="Segoe UI"/>
      <w:sz w:val="18"/>
      <w:szCs w:val="18"/>
      <w:lang w:val="uk-UA"/>
    </w:rPr>
  </w:style>
  <w:style w:type="paragraph" w:styleId="a6">
    <w:name w:val="header"/>
    <w:basedOn w:val="a"/>
    <w:link w:val="a7"/>
    <w:uiPriority w:val="99"/>
    <w:unhideWhenUsed/>
    <w:rsid w:val="004E2C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2C6C"/>
    <w:rPr>
      <w:lang w:val="uk-UA"/>
    </w:rPr>
  </w:style>
  <w:style w:type="paragraph" w:styleId="a8">
    <w:name w:val="footer"/>
    <w:basedOn w:val="a"/>
    <w:link w:val="a9"/>
    <w:uiPriority w:val="99"/>
    <w:unhideWhenUsed/>
    <w:rsid w:val="004E2C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2C6C"/>
    <w:rPr>
      <w:lang w:val="uk-UA"/>
    </w:rPr>
  </w:style>
  <w:style w:type="character" w:styleId="aa">
    <w:name w:val="Hyperlink"/>
    <w:basedOn w:val="a0"/>
    <w:uiPriority w:val="99"/>
    <w:semiHidden/>
    <w:unhideWhenUsed/>
    <w:rsid w:val="00885472"/>
    <w:rPr>
      <w:color w:val="0000FF"/>
      <w:u w:val="single"/>
    </w:rPr>
  </w:style>
  <w:style w:type="character" w:customStyle="1" w:styleId="current">
    <w:name w:val="current"/>
    <w:basedOn w:val="a0"/>
    <w:rsid w:val="00885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936</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Олена Анатоліївна</dc:creator>
  <cp:keywords/>
  <dc:description/>
  <cp:lastModifiedBy>Потетюєва Марина Володимирівна</cp:lastModifiedBy>
  <cp:revision>4</cp:revision>
  <cp:lastPrinted>2021-11-02T11:20:00Z</cp:lastPrinted>
  <dcterms:created xsi:type="dcterms:W3CDTF">2022-02-04T11:18:00Z</dcterms:created>
  <dcterms:modified xsi:type="dcterms:W3CDTF">2022-02-04T11:19:00Z</dcterms:modified>
</cp:coreProperties>
</file>